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b/>
          <w:bCs/>
          <w:color w:val="auto"/>
          <w:sz w:val="84"/>
          <w:highlight w:val="none"/>
        </w:rPr>
      </w:pPr>
      <w:r>
        <w:rPr>
          <w:rFonts w:ascii="仿宋" w:hAnsi="仿宋" w:eastAsia="仿宋" w:cs="仿宋"/>
          <w:b/>
          <w:bCs/>
          <w:color w:val="auto"/>
          <w:sz w:val="84"/>
          <w:highlight w:val="none"/>
        </w:rPr>
      </w:r>
      <w:r/>
    </w:p>
    <w:p>
      <w:pPr>
        <w:jc w:val="center"/>
        <w:rPr>
          <w:rFonts w:ascii="仿宋" w:hAnsi="仿宋" w:eastAsia="仿宋" w:cs="仿宋"/>
          <w:b/>
          <w:bCs/>
          <w:color w:val="auto"/>
          <w:sz w:val="84"/>
          <w:highlight w:val="none"/>
        </w:rPr>
      </w:pPr>
      <w:r>
        <w:rPr>
          <w:rFonts w:ascii="仿宋" w:hAnsi="仿宋" w:eastAsia="仿宋" w:cs="仿宋"/>
          <w:b/>
          <w:bCs/>
          <w:color w:val="auto"/>
          <w:sz w:val="84"/>
          <w:highlight w:val="none"/>
        </w:rPr>
      </w:r>
      <w:r/>
    </w:p>
    <w:p>
      <w:pPr>
        <w:jc w:val="center"/>
        <w:rPr>
          <w:rFonts w:ascii="仿宋" w:hAnsi="仿宋" w:eastAsia="仿宋" w:cs="仿宋"/>
          <w:b/>
          <w:bCs/>
          <w:color w:val="auto"/>
          <w:sz w:val="84"/>
          <w:highlight w:val="none"/>
        </w:rPr>
        <w:outlineLvl w:val="0"/>
      </w:pPr>
      <w:r>
        <w:rPr>
          <w:rFonts w:hint="eastAsia" w:ascii="仿宋" w:hAnsi="仿宋" w:eastAsia="仿宋" w:cs="仿宋"/>
          <w:b/>
          <w:bCs/>
          <w:color w:val="auto"/>
          <w:sz w:val="84"/>
          <w:highlight w:val="none"/>
        </w:rPr>
        <w:t xml:space="preserve">招  标  文  件</w:t>
      </w:r>
      <w:r/>
    </w:p>
    <w:p>
      <w:pPr>
        <w:rPr>
          <w:rFonts w:ascii="仿宋" w:hAnsi="仿宋" w:eastAsia="仿宋" w:cs="仿宋"/>
          <w:b/>
          <w:bCs/>
          <w:color w:val="auto"/>
          <w:sz w:val="84"/>
          <w:highlight w:val="none"/>
        </w:rPr>
      </w:pPr>
      <w:r>
        <w:rPr>
          <w:rFonts w:ascii="仿宋" w:hAnsi="仿宋" w:eastAsia="仿宋" w:cs="仿宋"/>
          <w:b/>
          <w:bCs/>
          <w:color w:val="auto"/>
          <w:sz w:val="84"/>
          <w:highlight w:val="none"/>
        </w:rPr>
      </w:r>
      <w:r/>
    </w:p>
    <w:tbl>
      <w:tblPr>
        <w:tblStyle w:val="771"/>
        <w:tblpPr w:horzAnchor="page" w:tblpXSpec="center" w:vertAnchor="text" w:tblpY="466" w:leftFromText="180" w:topFromText="0" w:rightFromText="180" w:bottomFromText="0"/>
        <w:tblW w:w="4700" w:type="pct"/>
        <w:jc w:val="center"/>
        <w:tblLayout w:type="fixed"/>
        <w:tblCellMar>
          <w:left w:w="108" w:type="dxa"/>
          <w:top w:w="0" w:type="dxa"/>
          <w:right w:w="108" w:type="dxa"/>
          <w:bottom w:w="0" w:type="dxa"/>
        </w:tblCellMar>
        <w:tblLook w:val="04A0" w:firstRow="1" w:lastRow="0" w:firstColumn="1" w:lastColumn="0" w:noHBand="0" w:noVBand="1"/>
      </w:tblPr>
      <w:tblGrid>
        <w:gridCol w:w="1967"/>
        <w:gridCol w:w="6449"/>
      </w:tblGrid>
      <w:tr>
        <w:trPr>
          <w:jc w:val="center"/>
          <w:trHeight w:val="1235"/>
        </w:trPr>
        <w:tc>
          <w:tcPr>
            <w:tcW w:w="1168" w:type="pct"/>
            <w:vAlign w:val="center"/>
            <w:textDirection w:val="lrTb"/>
            <w:noWrap/>
          </w:tcPr>
          <w:p>
            <w:pPr>
              <w:jc w:val="both"/>
              <w:spacing w:line="500" w:lineRule="exact"/>
              <w:rPr>
                <w:rFonts w:ascii="仿宋" w:hAnsi="仿宋" w:eastAsia="仿宋" w:cs="仿宋"/>
                <w:color w:val="auto"/>
                <w:sz w:val="24"/>
                <w:szCs w:val="24"/>
                <w:highlight w:val="none"/>
              </w:rPr>
            </w:pPr>
            <w:r>
              <w:rPr>
                <w:rFonts w:hint="eastAsia" w:ascii="仿宋" w:hAnsi="仿宋" w:eastAsia="仿宋" w:cs="仿宋"/>
                <w:color w:val="auto"/>
                <w:sz w:val="30"/>
                <w:szCs w:val="30"/>
                <w:highlight w:val="none"/>
              </w:rPr>
              <w:t xml:space="preserve">项目名称：</w:t>
            </w:r>
            <w:r/>
          </w:p>
        </w:tc>
        <w:tc>
          <w:tcPr>
            <w:tcW w:w="3831" w:type="pct"/>
            <w:vAlign w:val="center"/>
            <w:textDirection w:val="lrTb"/>
            <w:noWrap/>
          </w:tcPr>
          <w:p>
            <w:pPr>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30"/>
                <w:szCs w:val="30"/>
                <w:highlight w:val="none"/>
              </w:rPr>
              <w:t xml:space="preserve">淮河干流浮山以下段行洪区调整和建设工程宿迁境内移民安置监督评估服务项目</w:t>
            </w:r>
            <w:r/>
          </w:p>
        </w:tc>
      </w:tr>
      <w:tr>
        <w:trPr>
          <w:jc w:val="center"/>
          <w:trHeight w:val="748"/>
        </w:trPr>
        <w:tc>
          <w:tcPr>
            <w:tcW w:w="1168" w:type="pct"/>
            <w:vAlign w:val="center"/>
            <w:textDirection w:val="lrTb"/>
            <w:noWrap/>
          </w:tcPr>
          <w:p>
            <w:pPr>
              <w:jc w:val="both"/>
              <w:spacing w:line="500" w:lineRule="exact"/>
              <w:rPr>
                <w:rFonts w:ascii="仿宋" w:hAnsi="仿宋" w:eastAsia="仿宋" w:cs="仿宋"/>
                <w:color w:val="auto"/>
                <w:spacing w:val="45"/>
                <w:sz w:val="32"/>
                <w:szCs w:val="24"/>
                <w:highlight w:val="none"/>
              </w:rPr>
            </w:pPr>
            <w:r>
              <w:rPr>
                <w:rFonts w:hint="eastAsia" w:ascii="仿宋" w:hAnsi="仿宋" w:eastAsia="仿宋" w:cs="仿宋"/>
                <w:color w:val="auto"/>
                <w:sz w:val="30"/>
                <w:szCs w:val="30"/>
                <w:highlight w:val="none"/>
              </w:rPr>
              <w:t xml:space="preserve">项目编号：</w:t>
            </w:r>
            <w:r/>
          </w:p>
        </w:tc>
        <w:tc>
          <w:tcPr>
            <w:tcW w:w="3831" w:type="pct"/>
            <w:vAlign w:val="center"/>
            <w:textDirection w:val="lrTb"/>
            <w:noWrap/>
          </w:tcPr>
          <w:p>
            <w:pPr>
              <w:jc w:val="left"/>
              <w:spacing w:line="5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JSZC-321300-SSZJ-G2026-0002</w:t>
            </w:r>
            <w:r/>
          </w:p>
        </w:tc>
      </w:tr>
    </w:tbl>
    <w:p>
      <w:pPr>
        <w:jc w:val="center"/>
        <w:rPr>
          <w:rFonts w:ascii="仿宋" w:hAnsi="仿宋" w:eastAsia="仿宋" w:cs="仿宋"/>
          <w:b/>
          <w:color w:val="auto"/>
          <w:sz w:val="30"/>
          <w:szCs w:val="30"/>
          <w:highlight w:val="none"/>
        </w:rPr>
      </w:pPr>
      <w:r>
        <w:rPr>
          <w:rFonts w:ascii="仿宋" w:hAnsi="仿宋" w:eastAsia="仿宋" w:cs="仿宋"/>
          <w:b/>
          <w:color w:val="auto"/>
          <w:sz w:val="30"/>
          <w:szCs w:val="30"/>
          <w:highlight w:val="none"/>
        </w:rPr>
      </w:r>
      <w:r/>
    </w:p>
    <w:p>
      <w:pPr>
        <w:jc w:val="center"/>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pStyle w:val="772"/>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color w:val="auto"/>
          <w:highlight w:val="none"/>
        </w:rPr>
      </w:pPr>
      <w:r>
        <w:rPr>
          <w:rFonts w:ascii="仿宋" w:hAnsi="仿宋" w:eastAsia="仿宋" w:cs="仿宋"/>
          <w:color w:val="auto"/>
          <w:highlight w:val="none"/>
        </w:rPr>
      </w:r>
      <w:r/>
    </w:p>
    <w:tbl>
      <w:tblPr>
        <w:tblStyle w:val="771"/>
        <w:tblpPr w:horzAnchor="page" w:tblpXSpec="center" w:vertAnchor="text" w:tblpY="466" w:leftFromText="180" w:topFromText="0" w:rightFromText="180" w:bottomFromText="0"/>
        <w:tblW w:w="4664" w:type="pct"/>
        <w:jc w:val="center"/>
        <w:tblLayout w:type="autofit"/>
        <w:tblCellMar>
          <w:left w:w="108" w:type="dxa"/>
          <w:top w:w="0" w:type="dxa"/>
          <w:right w:w="108" w:type="dxa"/>
          <w:bottom w:w="0" w:type="dxa"/>
        </w:tblCellMar>
        <w:tblLook w:val="04A0" w:firstRow="1" w:lastRow="0" w:firstColumn="1" w:lastColumn="0" w:noHBand="0" w:noVBand="1"/>
      </w:tblPr>
      <w:tblGrid>
        <w:gridCol w:w="2456"/>
        <w:gridCol w:w="5895"/>
      </w:tblGrid>
      <w:tr>
        <w:trPr>
          <w:jc w:val="center"/>
          <w:trHeight w:val="586"/>
        </w:trPr>
        <w:tc>
          <w:tcPr>
            <w:tcW w:w="1468" w:type="pct"/>
            <w:vAlign w:val="center"/>
            <w:textDirection w:val="lrTb"/>
            <w:noWrap/>
          </w:tcPr>
          <w:p>
            <w:pPr>
              <w:jc w:val="both"/>
              <w:spacing w:line="500" w:lineRule="exact"/>
              <w:rPr>
                <w:rFonts w:ascii="仿宋" w:hAnsi="仿宋" w:eastAsia="仿宋" w:cs="仿宋"/>
                <w:color w:val="auto"/>
                <w:sz w:val="24"/>
                <w:szCs w:val="24"/>
                <w:highlight w:val="none"/>
              </w:rPr>
            </w:pPr>
            <w:r>
              <w:rPr>
                <w:rFonts w:hint="eastAsia" w:ascii="仿宋" w:hAnsi="仿宋" w:eastAsia="仿宋" w:cs="仿宋"/>
                <w:color w:val="auto"/>
                <w:spacing w:val="45"/>
                <w:sz w:val="32"/>
                <w:szCs w:val="24"/>
                <w:highlight w:val="none"/>
              </w:rPr>
              <w:t xml:space="preserve">采购人</w:t>
            </w:r>
            <w:r>
              <w:rPr>
                <w:rFonts w:hint="eastAsia" w:ascii="仿宋" w:hAnsi="仿宋" w:eastAsia="仿宋" w:cs="仿宋"/>
                <w:color w:val="auto"/>
                <w:spacing w:val="1"/>
                <w:sz w:val="32"/>
                <w:szCs w:val="24"/>
                <w:highlight w:val="none"/>
              </w:rPr>
              <w:t xml:space="preserve">：</w:t>
            </w:r>
            <w:r/>
          </w:p>
        </w:tc>
        <w:tc>
          <w:tcPr>
            <w:tcW w:w="3531" w:type="pct"/>
            <w:vAlign w:val="center"/>
            <w:textDirection w:val="lrTb"/>
            <w:noWrap/>
          </w:tcPr>
          <w:p>
            <w:pPr>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32"/>
                <w:szCs w:val="24"/>
                <w:highlight w:val="none"/>
              </w:rPr>
              <w:t xml:space="preserve">宿迁市水务工程建设管理中心</w:t>
            </w:r>
            <w:r/>
          </w:p>
        </w:tc>
      </w:tr>
      <w:tr>
        <w:trPr>
          <w:jc w:val="center"/>
          <w:trHeight w:val="617"/>
        </w:trPr>
        <w:tc>
          <w:tcPr>
            <w:tcW w:w="1468" w:type="pct"/>
            <w:vAlign w:val="center"/>
            <w:textDirection w:val="lrTb"/>
            <w:noWrap/>
          </w:tcPr>
          <w:p>
            <w:pPr>
              <w:jc w:val="both"/>
              <w:spacing w:line="500" w:lineRule="exact"/>
              <w:rPr>
                <w:rFonts w:ascii="仿宋" w:hAnsi="仿宋" w:eastAsia="仿宋" w:cs="仿宋"/>
                <w:color w:val="auto"/>
                <w:spacing w:val="45"/>
                <w:sz w:val="32"/>
                <w:szCs w:val="24"/>
                <w:highlight w:val="none"/>
              </w:rPr>
            </w:pPr>
            <w:r>
              <w:rPr>
                <w:rFonts w:hint="eastAsia" w:ascii="仿宋" w:hAnsi="仿宋" w:eastAsia="仿宋" w:cs="仿宋"/>
                <w:color w:val="auto"/>
                <w:sz w:val="32"/>
                <w:szCs w:val="24"/>
                <w:highlight w:val="none"/>
              </w:rPr>
              <w:t xml:space="preserve">采购代理机构：</w:t>
            </w:r>
            <w:r/>
          </w:p>
        </w:tc>
        <w:tc>
          <w:tcPr>
            <w:tcW w:w="3531" w:type="pct"/>
            <w:vAlign w:val="center"/>
            <w:textDirection w:val="lrTb"/>
            <w:noWrap/>
          </w:tcPr>
          <w:p>
            <w:pPr>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32"/>
                <w:szCs w:val="24"/>
                <w:highlight w:val="none"/>
              </w:rPr>
              <w:t xml:space="preserve">江苏苏盛工程造价咨询有限公司</w:t>
            </w:r>
            <w:r/>
          </w:p>
        </w:tc>
      </w:tr>
    </w:tbl>
    <w:p>
      <w:pPr>
        <w:jc w:val="center"/>
        <w:rPr>
          <w:rFonts w:ascii="仿宋" w:hAnsi="仿宋" w:eastAsia="仿宋" w:cs="仿宋"/>
          <w:color w:val="auto"/>
          <w:highlight w:val="none"/>
        </w:rPr>
      </w:pPr>
      <w:r>
        <w:rPr>
          <w:rFonts w:ascii="仿宋" w:hAnsi="仿宋" w:eastAsia="仿宋" w:cs="仿宋"/>
          <w:color w:val="auto"/>
          <w:highlight w:val="none"/>
        </w:rPr>
      </w:r>
      <w:r/>
    </w:p>
    <w:p>
      <w:pPr>
        <w:jc w:val="center"/>
        <w:rPr>
          <w:rFonts w:ascii="仿宋" w:hAnsi="仿宋" w:eastAsia="仿宋" w:cs="仿宋"/>
          <w:b/>
          <w:bCs/>
          <w:color w:val="auto"/>
          <w:sz w:val="32"/>
          <w:highlight w:val="none"/>
          <w:u w:val="single"/>
        </w:rPr>
      </w:pPr>
      <w:r>
        <w:rPr>
          <w:rFonts w:ascii="仿宋" w:hAnsi="仿宋" w:eastAsia="仿宋" w:cs="仿宋"/>
          <w:b/>
          <w:bCs/>
          <w:color w:val="auto"/>
          <w:sz w:val="32"/>
          <w:highlight w:val="none"/>
          <w:u w:val="single"/>
        </w:rPr>
      </w:r>
      <w:r/>
    </w:p>
    <w:p>
      <w:pPr>
        <w:jc w:val="center"/>
        <w:rPr>
          <w:rFonts w:ascii="仿宋" w:hAnsi="仿宋" w:eastAsia="仿宋" w:cs="仿宋"/>
          <w:b/>
          <w:bCs/>
          <w:color w:val="auto"/>
          <w:sz w:val="32"/>
          <w:highlight w:val="none"/>
        </w:rPr>
      </w:pPr>
      <w:r>
        <w:rPr>
          <w:rFonts w:hint="eastAsia" w:ascii="仿宋" w:hAnsi="仿宋" w:eastAsia="仿宋" w:cs="仿宋"/>
          <w:b/>
          <w:bCs/>
          <w:color w:val="auto"/>
          <w:sz w:val="32"/>
          <w:highlight w:val="none"/>
          <w:u w:val="single"/>
        </w:rPr>
        <w:t xml:space="preserve">2026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u w:val="single"/>
          <w:lang w:val="en-US" w:eastAsia="zh-CN"/>
        </w:rPr>
        <w:t xml:space="preserve">5</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u w:val="single"/>
        </w:rPr>
        <w:t xml:space="preserve"> </w:t>
      </w:r>
      <w:r>
        <w:rPr>
          <w:rFonts w:hint="eastAsia" w:ascii="仿宋" w:hAnsi="仿宋" w:eastAsia="仿宋" w:cs="仿宋"/>
          <w:b/>
          <w:bCs/>
          <w:color w:val="auto"/>
          <w:sz w:val="32"/>
          <w:highlight w:val="none"/>
          <w:u w:val="single"/>
          <w:lang w:val="en-US" w:eastAsia="zh-CN"/>
        </w:rPr>
        <w:t xml:space="preserve">11</w:t>
      </w:r>
      <w:r>
        <w:rPr>
          <w:rFonts w:hint="eastAsia" w:ascii="仿宋" w:hAnsi="仿宋" w:eastAsia="仿宋" w:cs="仿宋"/>
          <w:b/>
          <w:bCs/>
          <w:color w:val="auto"/>
          <w:sz w:val="32"/>
          <w:highlight w:val="none"/>
        </w:rPr>
        <w:t xml:space="preserve">日</w:t>
      </w:r>
      <w:r/>
    </w:p>
    <w:p>
      <w:pPr>
        <w:rPr>
          <w:rFonts w:ascii="仿宋" w:hAnsi="仿宋" w:eastAsia="仿宋" w:cs="仿宋"/>
          <w:color w:val="auto"/>
          <w:highlight w:val="none"/>
          <w:u w:val="single"/>
        </w:rPr>
      </w:pPr>
      <w:r>
        <w:rPr>
          <w:rFonts w:ascii="仿宋" w:hAnsi="仿宋" w:eastAsia="仿宋" w:cs="仿宋"/>
          <w:color w:val="auto"/>
          <w:highlight w:val="none"/>
          <w:u w:val="single"/>
        </w:rPr>
      </w:r>
      <w:r/>
    </w:p>
    <w:p>
      <w:pPr>
        <w:jc w:val="cente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sectPr>
          <w:headerReference w:type="default" r:id="rId9"/>
          <w:headerReference w:type="even"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sdt>
      <w:sdtPr>
        <w15:appearance w15:val="boundingBox"/>
        <w:id w:val="147471173"/>
        <w:docPartObj>
          <w:docPartGallery w:val="Table of Contents"/>
          <w:docPartUnique w:val="true"/>
        </w:docPartObj>
        <w:rPr>
          <w:rFonts w:hint="eastAsia" w:ascii="仿宋" w:hAnsi="仿宋" w:eastAsia="仿宋" w:cs="仿宋"/>
          <w:color w:val="auto"/>
          <w:szCs w:val="21"/>
          <w:highlight w:val="none"/>
        </w:rPr>
      </w:sdtPr>
      <w:sdtContent>
        <w:p>
          <w:pPr>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44"/>
              <w:szCs w:val="44"/>
              <w:highlight w:val="none"/>
            </w:rPr>
            <w:t xml:space="preserve">目录</w:t>
          </w:r>
          <w:r/>
        </w:p>
        <w:p>
          <w:pPr>
            <w:spacing w:line="360" w:lineRule="auto"/>
            <w:tabs>
              <w:tab w:val="right" w:pos="8953" w:leader="dot"/>
            </w:tabs>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TOC \o "1-1" \h \u </w:instrText>
          </w:r>
          <w:r>
            <w:rPr>
              <w:rFonts w:hint="eastAsia" w:ascii="仿宋" w:hAnsi="仿宋" w:eastAsia="仿宋" w:cs="仿宋"/>
              <w:color w:val="auto"/>
              <w:sz w:val="32"/>
              <w:szCs w:val="32"/>
              <w:highlight w:val="none"/>
            </w:rPr>
            <w:fldChar w:fldCharType="separate"/>
          </w:r>
          <w:r>
            <w:rPr>
              <w:color w:val="auto"/>
              <w:highlight w:val="none"/>
            </w:rPr>
            <w:fldChar w:fldCharType="begin"/>
          </w:r>
          <w:r>
            <w:rPr>
              <w:color w:val="auto"/>
              <w:highlight w:val="none"/>
            </w:rPr>
            <w:instrText xml:space="preserve"> HYPERLINK \l "_Toc29317" </w:instrText>
          </w:r>
          <w:r>
            <w:rPr>
              <w:color w:val="auto"/>
              <w:highlight w:val="none"/>
            </w:rPr>
            <w:fldChar w:fldCharType="separate"/>
          </w:r>
          <w:r>
            <w:rPr>
              <w:rFonts w:hint="eastAsia" w:ascii="仿宋" w:hAnsi="仿宋" w:eastAsia="仿宋" w:cs="仿宋"/>
              <w:color w:val="auto"/>
              <w:sz w:val="32"/>
              <w:szCs w:val="32"/>
              <w:highlight w:val="none"/>
            </w:rPr>
            <w:t xml:space="preserve">第一章  投标邀请</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_Toc29317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tabs>
              <w:tab w:val="right" w:pos="8953" w:leader="dot"/>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"_Toc7933" </w:instrText>
          </w:r>
          <w:r>
            <w:rPr>
              <w:color w:val="auto"/>
              <w:highlight w:val="none"/>
            </w:rPr>
            <w:fldChar w:fldCharType="separate"/>
          </w:r>
          <w:r>
            <w:rPr>
              <w:rFonts w:hint="eastAsia" w:ascii="仿宋" w:hAnsi="仿宋" w:eastAsia="仿宋" w:cs="仿宋"/>
              <w:color w:val="auto"/>
              <w:sz w:val="32"/>
              <w:szCs w:val="32"/>
              <w:highlight w:val="none"/>
            </w:rPr>
            <w:t xml:space="preserve">第二章  投标人须知</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_Toc7933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5</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tabs>
              <w:tab w:val="right" w:pos="8953" w:leader="dot"/>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"_Toc10270" </w:instrText>
          </w:r>
          <w:r>
            <w:rPr>
              <w:color w:val="auto"/>
              <w:highlight w:val="none"/>
            </w:rPr>
            <w:fldChar w:fldCharType="separate"/>
          </w:r>
          <w:r>
            <w:rPr>
              <w:rFonts w:hint="eastAsia" w:ascii="仿宋" w:hAnsi="仿宋" w:eastAsia="仿宋" w:cs="仿宋"/>
              <w:bCs/>
              <w:color w:val="auto"/>
              <w:sz w:val="32"/>
              <w:szCs w:val="32"/>
              <w:highlight w:val="none"/>
            </w:rPr>
            <w:t xml:space="preserve">第三章</w:t>
          </w:r>
          <w:r>
            <w:rPr>
              <w:rFonts w:hint="eastAsia" w:ascii="仿宋" w:hAnsi="仿宋" w:eastAsia="仿宋" w:cs="仿宋"/>
              <w:color w:val="auto"/>
              <w:sz w:val="32"/>
              <w:szCs w:val="32"/>
              <w:highlight w:val="none"/>
            </w:rPr>
            <w:t xml:space="preserve">  资格审查及评标办法</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_Toc10270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11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tabs>
              <w:tab w:val="right" w:pos="8953" w:leader="dot"/>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"_Toc25742" </w:instrText>
          </w:r>
          <w:r>
            <w:rPr>
              <w:color w:val="auto"/>
              <w:highlight w:val="none"/>
            </w:rPr>
            <w:fldChar w:fldCharType="separate"/>
          </w:r>
          <w:r>
            <w:rPr>
              <w:rFonts w:hint="eastAsia" w:ascii="仿宋" w:hAnsi="仿宋" w:eastAsia="仿宋" w:cs="仿宋"/>
              <w:bCs/>
              <w:color w:val="auto"/>
              <w:sz w:val="32"/>
              <w:szCs w:val="32"/>
              <w:highlight w:val="none"/>
            </w:rPr>
            <w:t xml:space="preserve">第四章</w:t>
          </w:r>
          <w:r>
            <w:rPr>
              <w:rFonts w:hint="eastAsia" w:ascii="仿宋" w:hAnsi="仿宋" w:eastAsia="仿宋" w:cs="仿宋"/>
              <w:bCs/>
              <w:color w:val="auto"/>
              <w:sz w:val="32"/>
              <w:szCs w:val="32"/>
              <w:highlight w:val="none"/>
              <w:lang w:val="en-US" w:eastAsia="zh-CN"/>
            </w:rPr>
            <w:t xml:space="preserve">  </w:t>
          </w:r>
          <w:r>
            <w:rPr>
              <w:rFonts w:hint="eastAsia" w:ascii="仿宋" w:hAnsi="仿宋" w:eastAsia="仿宋" w:cs="仿宋"/>
              <w:bCs/>
              <w:color w:val="auto"/>
              <w:sz w:val="32"/>
              <w:szCs w:val="32"/>
              <w:highlight w:val="none"/>
            </w:rPr>
            <w:t xml:space="preserve">采购需求</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_Toc25742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27</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tabs>
              <w:tab w:val="right" w:pos="8953" w:leader="dot"/>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"_Toc23929" </w:instrText>
          </w:r>
          <w:r>
            <w:rPr>
              <w:color w:val="auto"/>
              <w:highlight w:val="none"/>
            </w:rPr>
            <w:fldChar w:fldCharType="separate"/>
          </w:r>
          <w:r>
            <w:rPr>
              <w:rFonts w:hint="eastAsia" w:ascii="仿宋" w:hAnsi="仿宋" w:eastAsia="仿宋" w:cs="仿宋"/>
              <w:bCs/>
              <w:color w:val="auto"/>
              <w:sz w:val="32"/>
              <w:szCs w:val="32"/>
              <w:highlight w:val="none"/>
            </w:rPr>
            <w:t xml:space="preserve">第五章  合同文本</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_Toc23929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34</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tabs>
              <w:tab w:val="right" w:pos="8953" w:leader="dot"/>
            </w:tabs>
            <w:rPr>
              <w:rFonts w:ascii="仿宋" w:hAnsi="仿宋" w:eastAsia="仿宋" w:cs="仿宋"/>
              <w:color w:val="auto"/>
              <w:sz w:val="32"/>
              <w:szCs w:val="32"/>
              <w:highlight w:val="none"/>
            </w:rPr>
          </w:pPr>
          <w:r>
            <w:rPr>
              <w:color w:val="auto"/>
              <w:highlight w:val="none"/>
            </w:rPr>
            <w:fldChar w:fldCharType="begin"/>
          </w:r>
          <w:r>
            <w:rPr>
              <w:color w:val="auto"/>
              <w:highlight w:val="none"/>
            </w:rPr>
            <w:instrText xml:space="preserve"> HYPERLINK \l "_Toc1783" </w:instrText>
          </w:r>
          <w:r>
            <w:rPr>
              <w:color w:val="auto"/>
              <w:highlight w:val="none"/>
            </w:rPr>
            <w:fldChar w:fldCharType="separate"/>
          </w:r>
          <w:r>
            <w:rPr>
              <w:rFonts w:hint="eastAsia" w:ascii="仿宋" w:hAnsi="仿宋" w:eastAsia="仿宋" w:cs="仿宋"/>
              <w:bCs/>
              <w:color w:val="auto"/>
              <w:sz w:val="32"/>
              <w:szCs w:val="32"/>
              <w:highlight w:val="none"/>
            </w:rPr>
            <w:t xml:space="preserve">第六章  投标文件格式</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_Toc1783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41</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fldChar w:fldCharType="end"/>
          </w:r>
          <w:r/>
        </w:p>
        <w:p>
          <w:pPr>
            <w:spacing w:line="360" w:lineRule="auto"/>
            <w:rPr>
              <w:rFonts w:ascii="仿宋" w:hAnsi="仿宋" w:eastAsia="仿宋" w:cs="仿宋"/>
              <w:color w:val="auto"/>
              <w:highlight w:val="none"/>
            </w:rPr>
          </w:pPr>
          <w:r>
            <w:rPr>
              <w:rFonts w:hint="eastAsia" w:ascii="仿宋" w:hAnsi="仿宋" w:eastAsia="仿宋" w:cs="仿宋"/>
              <w:color w:val="auto"/>
              <w:sz w:val="32"/>
              <w:szCs w:val="32"/>
              <w:highlight w:val="none"/>
            </w:rPr>
            <w:fldChar w:fldCharType="end"/>
          </w:r>
          <w:r/>
        </w:p>
      </w:sdtContent>
    </w:sdt>
    <w:p>
      <w:pPr>
        <w:rPr>
          <w:rFonts w:ascii="仿宋" w:hAnsi="仿宋" w:eastAsia="仿宋" w:cs="仿宋"/>
          <w:color w:val="auto"/>
          <w:highlight w:val="none"/>
        </w:rPr>
      </w:pPr>
      <w:r>
        <w:rPr>
          <w:rFonts w:ascii="仿宋" w:hAnsi="仿宋" w:eastAsia="仿宋" w:cs="仿宋"/>
          <w:color w:val="auto"/>
          <w:highlight w:val="none"/>
        </w:rPr>
      </w:r>
      <w:r/>
    </w:p>
    <w:p>
      <w:pPr>
        <w:spacing w:line="360" w:lineRule="auto"/>
        <w:rPr>
          <w:rFonts w:ascii="仿宋" w:hAnsi="仿宋" w:eastAsia="仿宋" w:cs="仿宋"/>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color w:val="auto"/>
          <w:sz w:val="44"/>
          <w:szCs w:val="44"/>
          <w:highlight w:val="none"/>
        </w:rPr>
      </w:r>
      <w:r/>
    </w:p>
    <w:p>
      <w:pPr>
        <w:jc w:val="center"/>
        <w:spacing w:line="360" w:lineRule="auto"/>
        <w:rPr>
          <w:rFonts w:ascii="仿宋" w:hAnsi="仿宋" w:eastAsia="仿宋" w:cs="仿宋"/>
          <w:b/>
          <w:bCs/>
          <w:color w:val="auto"/>
          <w:sz w:val="44"/>
          <w:szCs w:val="44"/>
          <w:highlight w:val="none"/>
        </w:rPr>
        <w:outlineLvl w:val="0"/>
      </w:pPr>
      <w:r/>
      <w:bookmarkStart w:id="0" w:name="_Toc29317"/>
      <w:r>
        <w:rPr>
          <w:rFonts w:hint="eastAsia" w:ascii="仿宋" w:hAnsi="仿宋" w:eastAsia="仿宋" w:cs="仿宋"/>
          <w:b/>
          <w:bCs/>
          <w:color w:val="auto"/>
          <w:sz w:val="44"/>
          <w:szCs w:val="44"/>
          <w:highlight w:val="none"/>
        </w:rPr>
        <w:t xml:space="preserve">第一章  投标邀请</w:t>
      </w:r>
      <w:bookmarkEnd w:id="0"/>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rPr>
        <w:t xml:space="preserve">宿迁市水务工程建设管理中心</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rPr>
        <w:t xml:space="preserve">江苏苏盛工程造价咨询有限公司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rPr>
        <w:t xml:space="preserve">淮河干流浮山以下段行洪区调整和建设工程宿迁境内移民安置监督评估服务项目</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JSZC-321300-SSZJ-G2026-0002</w:t>
      </w:r>
      <w:r>
        <w:rPr>
          <w:rFonts w:hint="eastAsia" w:ascii="仿宋" w:hAnsi="仿宋" w:eastAsia="仿宋" w:cs="仿宋"/>
          <w:color w:val="auto"/>
          <w:sz w:val="24"/>
          <w:szCs w:val="24"/>
          <w:highlight w:val="none"/>
        </w:rPr>
        <w:t xml:space="preserve">）进行公开招标采购，欢迎符合条件的投标人投标。</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0"/>
        <w:spacing w:line="360" w:lineRule="auto"/>
        <w:rPr>
          <w:rFonts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rPr>
        <w:t xml:space="preserve">淮河干流浮山以下段行洪区调整和建设工程宿迁境内移民安置监督评估服务项目</w:t>
      </w:r>
      <w:r>
        <w:rPr>
          <w:rFonts w:hint="eastAsia" w:ascii="仿宋" w:hAnsi="仿宋" w:eastAsia="仿宋" w:cs="仿宋"/>
          <w:color w:val="auto"/>
          <w:sz w:val="24"/>
          <w:szCs w:val="24"/>
          <w:highlight w:val="none"/>
          <w:u w:val="single"/>
          <w:lang w:eastAsia="zh-CN"/>
        </w:rPr>
        <w:t xml:space="preserve">JSZC-321300-SSZJ-G2026-0002</w:t>
      </w:r>
      <w:r>
        <w:rPr>
          <w:rFonts w:hint="eastAsia" w:ascii="仿宋" w:hAnsi="仿宋" w:eastAsia="仿宋" w:cs="仿宋"/>
          <w:color w:val="auto"/>
          <w:sz w:val="24"/>
          <w:szCs w:val="24"/>
          <w:highlight w:val="none"/>
        </w:rPr>
        <w:t xml:space="preserve">招标项目的潜在投标人应在</w:t>
      </w:r>
      <w:r>
        <w:rPr>
          <w:rFonts w:hint="eastAsia" w:ascii="仿宋" w:hAnsi="仿宋" w:eastAsia="仿宋" w:cs="仿宋"/>
          <w:color w:val="auto"/>
          <w:sz w:val="24"/>
          <w:szCs w:val="24"/>
          <w:highlight w:val="none"/>
          <w:u w:val="single"/>
        </w:rPr>
        <w:t xml:space="preserve">“</w:t>
      </w:r>
      <w:r>
        <w:rPr>
          <w:rFonts w:ascii="FangSong" w:hAnsi="FangSong" w:eastAsia="FangSong" w:cs="FangSong"/>
          <w:color w:val="000000"/>
          <w:sz w:val="24"/>
          <w:u w:val="single"/>
        </w:rPr>
        <w:t xml:space="preserve">苏采云</w:t>
      </w:r>
      <w:r>
        <w:rPr>
          <w:rFonts w:hint="eastAsia" w:ascii="仿宋" w:hAnsi="仿宋" w:eastAsia="仿宋" w:cs="仿宋"/>
          <w:color w:val="auto"/>
          <w:sz w:val="24"/>
          <w:szCs w:val="24"/>
          <w:highlight w:val="none"/>
          <w:u w:val="single"/>
        </w:rPr>
        <w:t xml:space="preserve">”系统（网址：http://jszfcg.jsczt.cn/）</w:t>
      </w:r>
      <w:r>
        <w:rPr>
          <w:rFonts w:hint="eastAsia" w:ascii="仿宋" w:hAnsi="仿宋" w:eastAsia="仿宋" w:cs="仿宋"/>
          <w:color w:val="auto"/>
          <w:sz w:val="24"/>
          <w:szCs w:val="24"/>
          <w:highlight w:val="none"/>
        </w:rPr>
        <w:t xml:space="preserve">获取招标文件，并于</w:t>
      </w:r>
      <w:r>
        <w:rPr>
          <w:rFonts w:hint="eastAsia" w:ascii="仿宋" w:hAnsi="仿宋" w:eastAsia="仿宋" w:cs="仿宋"/>
          <w:b/>
          <w:bCs/>
          <w:color w:val="auto"/>
          <w:sz w:val="24"/>
          <w:szCs w:val="24"/>
          <w:highlight w:val="none"/>
          <w:u w:val="single"/>
        </w:rPr>
        <w:t xml:space="preserve">2026年</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rPr>
        <w:t xml:space="preserve">月</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rPr>
        <w:t xml:space="preserve">日9点30分</w:t>
      </w:r>
      <w:r>
        <w:rPr>
          <w:rFonts w:hint="eastAsia" w:ascii="仿宋" w:hAnsi="仿宋" w:eastAsia="仿宋" w:cs="仿宋"/>
          <w:bCs/>
          <w:color w:val="auto"/>
          <w:sz w:val="24"/>
          <w:szCs w:val="24"/>
          <w:highlight w:val="none"/>
          <w:u w:val="single"/>
        </w:rPr>
        <w:t xml:space="preserve">（</w:t>
      </w:r>
      <w:r>
        <w:rPr>
          <w:rFonts w:hint="eastAsia" w:ascii="仿宋" w:hAnsi="仿宋" w:eastAsia="仿宋" w:cs="仿宋"/>
          <w:bCs/>
          <w:color w:val="auto"/>
          <w:sz w:val="24"/>
          <w:szCs w:val="24"/>
          <w:highlight w:val="none"/>
        </w:rPr>
        <w:t xml:space="preserve">北京时间）前递交投标文件</w:t>
      </w:r>
      <w:r>
        <w:rPr>
          <w:rFonts w:hint="eastAsia" w:ascii="仿宋" w:hAnsi="仿宋" w:eastAsia="仿宋" w:cs="仿宋"/>
          <w:color w:val="auto"/>
          <w:sz w:val="24"/>
          <w:szCs w:val="24"/>
          <w:highlight w:val="none"/>
        </w:rPr>
        <w:t xml:space="preserve">。</w:t>
      </w:r>
      <w:r/>
    </w:p>
    <w:p>
      <w:pPr>
        <w:ind w:firstLine="499"/>
        <w:spacing w:line="560" w:lineRule="exact"/>
        <w:rPr>
          <w:rFonts w:ascii="仿宋" w:hAnsi="仿宋" w:eastAsia="仿宋" w:cs="仿宋"/>
          <w:b/>
          <w:bCs/>
          <w:color w:val="auto"/>
          <w:sz w:val="28"/>
          <w:szCs w:val="28"/>
          <w:highlight w:val="none"/>
        </w:rPr>
        <w:outlineLvl w:val="1"/>
      </w:pPr>
      <w:r/>
      <w:bookmarkStart w:id="1" w:name="_Toc28359002"/>
      <w:r/>
      <w:bookmarkStart w:id="2" w:name="_Toc28359079"/>
      <w:r/>
      <w:bookmarkStart w:id="3" w:name="_Toc35393621"/>
      <w:r/>
      <w:bookmarkStart w:id="4" w:name="_Toc38985263"/>
      <w:r/>
      <w:bookmarkStart w:id="5" w:name="_Toc35393790"/>
      <w:r/>
      <w:bookmarkStart w:id="6" w:name="_Hlk24379207"/>
      <w:r>
        <w:rPr>
          <w:rFonts w:hint="eastAsia" w:ascii="仿宋" w:hAnsi="仿宋" w:eastAsia="仿宋" w:cs="仿宋"/>
          <w:b/>
          <w:bCs/>
          <w:color w:val="auto"/>
          <w:sz w:val="28"/>
          <w:szCs w:val="28"/>
          <w:highlight w:val="none"/>
        </w:rPr>
        <w:t xml:space="preserve">一、项目基本情况</w:t>
      </w:r>
      <w:bookmarkEnd w:id="1"/>
      <w:r/>
      <w:bookmarkEnd w:id="2"/>
      <w:r/>
      <w:bookmarkEnd w:id="3"/>
      <w:r/>
      <w:bookmarkEnd w:id="4"/>
      <w:r/>
      <w:bookmarkEnd w:id="5"/>
      <w:r/>
      <w:r/>
    </w:p>
    <w:p>
      <w:pPr>
        <w:ind w:firstLine="480"/>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JSZC-321300-SSZJ-G2026-0002</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bookmarkEnd w:id="6"/>
      <w:r>
        <w:rPr>
          <w:rFonts w:hint="eastAsia" w:ascii="仿宋" w:hAnsi="仿宋" w:eastAsia="仿宋" w:cs="仿宋"/>
          <w:color w:val="auto"/>
          <w:sz w:val="24"/>
          <w:szCs w:val="24"/>
          <w:highlight w:val="none"/>
        </w:rPr>
        <w:t xml:space="preserve">淮河干流浮山以下段行洪区调整和建设工程宿迁境内移民安置监督评估服务项目</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3.预算金额：1765万元（采购包1：1190万元，采购包2：575万元）</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w:t>
      </w:r>
      <w:r>
        <w:rPr>
          <w:rFonts w:hint="eastAsia" w:ascii="仿宋" w:hAnsi="仿宋" w:eastAsia="仿宋" w:cs="仿宋"/>
          <w:color w:val="auto"/>
          <w:sz w:val="24"/>
          <w:szCs w:val="24"/>
          <w:highlight w:val="none"/>
          <w:u w:val="single"/>
        </w:rPr>
        <w:t xml:space="preserve">设定</w:t>
      </w:r>
      <w:r>
        <w:rPr>
          <w:rFonts w:hint="eastAsia" w:ascii="仿宋" w:hAnsi="仿宋" w:eastAsia="仿宋" w:cs="仿宋"/>
          <w:color w:val="auto"/>
          <w:sz w:val="24"/>
          <w:szCs w:val="24"/>
          <w:highlight w:val="none"/>
        </w:rPr>
        <w:t xml:space="preserve">最高投标限价，最高投标限价见下表。</w:t>
      </w:r>
      <w:r/>
    </w:p>
    <w:tbl>
      <w:tblPr>
        <w:tblStyle w:val="798"/>
        <w:tblW w:w="0" w:type="auto"/>
        <w:tblInd w:w="1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6"/>
        <w:gridCol w:w="1223"/>
        <w:gridCol w:w="3388"/>
        <w:gridCol w:w="1413"/>
        <w:gridCol w:w="2170"/>
      </w:tblGrid>
      <w:tr>
        <w:trPr/>
        <w:tc>
          <w:tcPr>
            <w:tcW w:w="57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5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采购包号</w:t>
            </w:r>
            <w:r/>
          </w:p>
        </w:tc>
        <w:tc>
          <w:tcPr>
            <w:tcW w:w="3484"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采购包名称</w:t>
            </w:r>
            <w:r/>
          </w:p>
        </w:tc>
        <w:tc>
          <w:tcPr>
            <w:tcW w:w="144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p>
        </w:tc>
        <w:tc>
          <w:tcPr>
            <w:tcW w:w="2223"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最高投标限价</w:t>
            </w:r>
            <w:r/>
          </w:p>
        </w:tc>
      </w:tr>
      <w:tr>
        <w:trPr>
          <w:trHeight w:val="1215"/>
        </w:trPr>
        <w:tc>
          <w:tcPr>
            <w:shd w:val="clear" w:color="auto" w:fill="auto"/>
            <w:tcW w:w="57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shd w:val="clear" w:color="auto" w:fill="auto"/>
            <w:tcW w:w="125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采购包1</w:t>
            </w:r>
            <w:r/>
          </w:p>
        </w:tc>
        <w:tc>
          <w:tcPr>
            <w:shd w:val="clear" w:color="auto" w:fill="auto"/>
            <w:tcW w:w="348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淮河干流浮山以下段行洪区调整和建设工程宿迁境内移民安置监督评估服务（溧河洼段）</w:t>
            </w:r>
            <w:r/>
          </w:p>
        </w:tc>
        <w:tc>
          <w:tcPr>
            <w:tcW w:w="144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1190万元</w:t>
            </w:r>
            <w:r/>
          </w:p>
        </w:tc>
        <w:tc>
          <w:tcPr>
            <w:tcW w:w="2223"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批复的初步设计概算中相应建设征地移民安置监督评估费的100%</w:t>
            </w:r>
            <w:r/>
          </w:p>
        </w:tc>
      </w:tr>
      <w:tr>
        <w:trPr/>
        <w:tc>
          <w:tcPr>
            <w:tcW w:w="57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shd w:val="clear" w:color="auto" w:fill="auto"/>
            <w:tcW w:w="125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采购包2</w:t>
            </w:r>
            <w:r/>
          </w:p>
        </w:tc>
        <w:tc>
          <w:tcPr>
            <w:shd w:val="clear" w:color="auto" w:fill="auto"/>
            <w:tcW w:w="348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淮河干流浮山以下段行洪区调整和建设工程宿迁境内移民安置监督评估服务（淮干、冯铁营引河段）</w:t>
            </w:r>
            <w:r/>
          </w:p>
        </w:tc>
        <w:tc>
          <w:tcPr>
            <w:tcW w:w="144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575万元</w:t>
            </w:r>
            <w:r/>
          </w:p>
        </w:tc>
        <w:tc>
          <w:tcPr>
            <w:shd w:val="clear" w:color="auto" w:fill="auto"/>
            <w:tcW w:w="2223"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批复的初步设计概算中相应建设征地移民安置监督评估费的100%</w:t>
            </w:r>
            <w:r/>
          </w:p>
        </w:tc>
      </w:tr>
    </w:tbl>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5.采购需求（简介）：淮河干流浮山以下段行洪区调整和建设工程宿迁境内移民安置监督评估服务项目（见下表），共分为2个包，具体详见采购需求。</w:t>
      </w:r>
      <w:r/>
    </w:p>
    <w:p>
      <w:pPr>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bl>
      <w:tblPr>
        <w:tblStyle w:val="798"/>
        <w:tblW w:w="0" w:type="auto"/>
        <w:tblInd w:w="1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4"/>
        <w:gridCol w:w="3837"/>
        <w:gridCol w:w="798"/>
        <w:gridCol w:w="1221"/>
        <w:gridCol w:w="1616"/>
      </w:tblGrid>
      <w:tr>
        <w:trPr>
          <w:trHeight w:val="700"/>
        </w:trPr>
        <w:tc>
          <w:tcPr>
            <w:tcW w:w="1314" w:type="dxa"/>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采购包号</w:t>
            </w:r>
            <w:r/>
          </w:p>
        </w:tc>
        <w:tc>
          <w:tcPr>
            <w:tcW w:w="3837" w:type="dxa"/>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采购包名称</w:t>
            </w:r>
            <w:r/>
          </w:p>
        </w:tc>
        <w:tc>
          <w:tcPr>
            <w:tcW w:w="798" w:type="dxa"/>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w:t>
            </w:r>
            <w:r/>
          </w:p>
        </w:tc>
        <w:tc>
          <w:tcPr>
            <w:tcW w:w="1221" w:type="dxa"/>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采购数量</w:t>
            </w:r>
            <w:r/>
          </w:p>
        </w:tc>
        <w:tc>
          <w:tcPr>
            <w:tcW w:w="1616" w:type="dxa"/>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c>
          <w:tcPr>
            <w:tcW w:w="131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包1</w:t>
            </w:r>
            <w:r/>
          </w:p>
        </w:tc>
        <w:tc>
          <w:tcPr>
            <w:tcW w:w="3837" w:type="dxa"/>
            <w:textDirection w:val="lrTb"/>
            <w:noWrap w:val="false"/>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淮河干流浮山以下段行洪区调整和建设工程宿迁境内移民安置监督评估服务（溧河洼段）</w:t>
            </w:r>
            <w:r/>
          </w:p>
        </w:tc>
        <w:tc>
          <w:tcPr>
            <w:tcW w:w="798"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w:t>
            </w:r>
            <w:r/>
          </w:p>
        </w:tc>
        <w:tc>
          <w:tcPr>
            <w:tcW w:w="1221"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616" w:type="dxa"/>
            <w:vAlign w:val="center"/>
            <w:textDirection w:val="lrTb"/>
            <w:noWrap w:val="false"/>
          </w:tcPr>
          <w:p>
            <w:pPr>
              <w:jc w:val="left"/>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溧河洼段所涉工程</w:t>
            </w:r>
            <w:r/>
          </w:p>
        </w:tc>
      </w:tr>
      <w:tr>
        <w:trPr/>
        <w:tc>
          <w:tcPr>
            <w:tcW w:w="131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包2</w:t>
            </w:r>
            <w:r/>
          </w:p>
        </w:tc>
        <w:tc>
          <w:tcPr>
            <w:tcW w:w="3837" w:type="dxa"/>
            <w:textDirection w:val="lrTb"/>
            <w:noWrap w:val="false"/>
          </w:tcPr>
          <w:p>
            <w:pP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淮河干流浮山以下段行洪区调整和建设工程宿迁境内移民安置监督评估服务（淮干、冯铁营引河段）</w:t>
            </w:r>
            <w:r/>
          </w:p>
        </w:tc>
        <w:tc>
          <w:tcPr>
            <w:tcW w:w="798"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项</w:t>
            </w:r>
            <w:r/>
          </w:p>
        </w:tc>
        <w:tc>
          <w:tcPr>
            <w:tcW w:w="1221"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tcW w:w="1616" w:type="dxa"/>
            <w:vAlign w:val="center"/>
            <w:textDirection w:val="lrTb"/>
            <w:noWrap w:val="false"/>
          </w:tcPr>
          <w:p>
            <w:pPr>
              <w:jc w:val="left"/>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淮干、冯铁营引河段所涉工程</w:t>
            </w:r>
            <w:r/>
          </w:p>
        </w:tc>
      </w:tr>
    </w:tbl>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6.合同履行期限：自合同生效之日起，至工程通过竣工验收且完成合同约定的全部义务之日止。</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7.本项目</w:t>
      </w:r>
      <w:r>
        <w:rPr>
          <w:rFonts w:hint="eastAsia" w:ascii="仿宋" w:hAnsi="仿宋" w:eastAsia="仿宋" w:cs="仿宋"/>
          <w:color w:val="auto"/>
          <w:sz w:val="24"/>
          <w:szCs w:val="24"/>
          <w:highlight w:val="none"/>
          <w:u w:val="single"/>
        </w:rPr>
        <w:t xml:space="preserve">不接受</w:t>
      </w:r>
      <w:r>
        <w:rPr>
          <w:rFonts w:hint="eastAsia" w:ascii="仿宋" w:hAnsi="仿宋" w:eastAsia="仿宋" w:cs="仿宋"/>
          <w:color w:val="auto"/>
          <w:sz w:val="24"/>
          <w:szCs w:val="24"/>
          <w:highlight w:val="none"/>
        </w:rPr>
        <w:t xml:space="preserve">联合体投标。</w:t>
      </w:r>
      <w:r/>
    </w:p>
    <w:p>
      <w:pPr>
        <w:ind w:firstLine="499"/>
        <w:spacing w:line="560" w:lineRule="exact"/>
        <w:rPr>
          <w:rFonts w:ascii="仿宋" w:hAnsi="仿宋" w:eastAsia="仿宋" w:cs="仿宋"/>
          <w:b/>
          <w:bCs/>
          <w:color w:val="auto"/>
          <w:sz w:val="28"/>
          <w:szCs w:val="28"/>
          <w:highlight w:val="none"/>
        </w:rPr>
        <w:outlineLvl w:val="1"/>
      </w:pPr>
      <w:r/>
      <w:bookmarkStart w:id="7" w:name="_Toc35393622"/>
      <w:r/>
      <w:bookmarkStart w:id="8" w:name="_Toc35393791"/>
      <w:r/>
      <w:bookmarkStart w:id="9" w:name="_Toc28359003"/>
      <w:r/>
      <w:bookmarkStart w:id="10" w:name="_Toc38985264"/>
      <w:r/>
      <w:bookmarkStart w:id="11" w:name="_Toc28359080"/>
      <w:r>
        <w:rPr>
          <w:rFonts w:hint="eastAsia" w:ascii="仿宋" w:hAnsi="仿宋" w:eastAsia="仿宋" w:cs="仿宋"/>
          <w:b/>
          <w:bCs/>
          <w:color w:val="auto"/>
          <w:sz w:val="28"/>
          <w:szCs w:val="28"/>
          <w:highlight w:val="none"/>
        </w:rPr>
        <w:t xml:space="preserve">二、申请人的资格要求</w:t>
      </w:r>
      <w:bookmarkEnd w:id="7"/>
      <w:r/>
      <w:bookmarkEnd w:id="8"/>
      <w:r/>
      <w:bookmarkEnd w:id="9"/>
      <w:r/>
      <w:bookmarkEnd w:id="10"/>
      <w:r/>
      <w:bookmarkEnd w:id="11"/>
      <w:r/>
      <w:r/>
    </w:p>
    <w:p>
      <w:pPr>
        <w:ind w:firstLine="480"/>
        <w:spacing w:line="560" w:lineRule="exact"/>
        <w:rPr>
          <w:rFonts w:ascii="仿宋" w:hAnsi="仿宋" w:eastAsia="仿宋" w:cs="仿宋"/>
          <w:color w:val="auto"/>
          <w:sz w:val="24"/>
          <w:szCs w:val="24"/>
          <w:highlight w:val="none"/>
        </w:rPr>
      </w:pPr>
      <w:r/>
      <w:bookmarkStart w:id="12" w:name="_Toc35393623"/>
      <w:r/>
      <w:bookmarkStart w:id="13" w:name="_Toc28359004"/>
      <w:r/>
      <w:bookmarkStart w:id="14" w:name="_Toc38985265"/>
      <w:r/>
      <w:bookmarkStart w:id="15" w:name="_Toc28359081"/>
      <w:r/>
      <w:bookmarkStart w:id="16" w:name="_Toc35393792"/>
      <w:r>
        <w:rPr>
          <w:rFonts w:hint="eastAsia" w:ascii="仿宋" w:hAnsi="仿宋" w:eastAsia="仿宋" w:cs="仿宋"/>
          <w:color w:val="auto"/>
          <w:sz w:val="24"/>
          <w:szCs w:val="24"/>
          <w:highlight w:val="none"/>
        </w:rPr>
        <w:t xml:space="preserve">（一）通用资格要求</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ascii="仿宋" w:hAnsi="仿宋" w:eastAsia="仿宋" w:cs="仿宋"/>
          <w:color w:val="auto"/>
          <w:sz w:val="36"/>
          <w:szCs w:val="36"/>
          <w:highlight w:val="none"/>
        </w:rPr>
      </w:pPr>
      <w:r>
        <w:rPr>
          <w:rFonts w:hint="eastAsia" w:ascii="仿宋" w:hAnsi="仿宋" w:eastAsia="仿宋" w:cs="仿宋"/>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w:t>
      </w:r>
      <w:r/>
    </w:p>
    <w:p>
      <w:pPr>
        <w:ind w:firstLine="480"/>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本项目为非预留份额的采购项目，对小微企业报价给予扣除，用扣除后的价格参加评审，具体详见第二章“投标人须知”。</w:t>
      </w:r>
      <w:r/>
    </w:p>
    <w:p>
      <w:pPr>
        <w:numPr>
          <w:ilvl w:val="0"/>
          <w:numId w:val="1"/>
        </w:numPr>
        <w:ind w:firstLine="480"/>
        <w:spacing w:line="480" w:lineRule="exact"/>
        <w:rPr>
          <w:rFonts w:ascii="仿宋" w:hAnsi="仿宋" w:eastAsia="仿宋" w:cs="仿宋"/>
          <w:color w:val="auto"/>
          <w:sz w:val="24"/>
          <w:szCs w:val="24"/>
          <w:highlight w:val="none"/>
        </w:rPr>
      </w:pPr>
      <w:r>
        <w:rPr>
          <w:rStyle w:val="801"/>
          <w:rFonts w:hint="eastAsia" w:ascii="仿宋" w:hAnsi="仿宋" w:eastAsia="仿宋" w:cs="仿宋"/>
          <w:color w:val="auto"/>
          <w:sz w:val="24"/>
          <w:szCs w:val="24"/>
          <w:highlight w:val="none"/>
          <w:u w:val="none"/>
        </w:rPr>
        <w:t xml:space="preserve">本项目的特定资格要求</w:t>
      </w:r>
      <w:r>
        <w:rPr>
          <w:rFonts w:hint="eastAsia" w:ascii="仿宋" w:hAnsi="仿宋" w:eastAsia="仿宋" w:cs="仿宋"/>
          <w:color w:val="auto"/>
          <w:sz w:val="24"/>
          <w:szCs w:val="24"/>
          <w:highlight w:val="none"/>
        </w:rPr>
        <w:t xml:space="preserve">：无。</w:t>
      </w:r>
      <w:r/>
    </w:p>
    <w:p>
      <w:pPr>
        <w:ind w:firstLine="482"/>
        <w:spacing w:line="480" w:lineRule="exact"/>
        <w:widowControl/>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三、获取招标文件</w:t>
      </w:r>
      <w:bookmarkEnd w:id="12"/>
      <w:r/>
      <w:bookmarkEnd w:id="13"/>
      <w:r/>
      <w:bookmarkEnd w:id="14"/>
      <w:r/>
      <w:bookmarkEnd w:id="15"/>
      <w:r/>
      <w:bookmarkEnd w:id="16"/>
      <w:r/>
      <w:r/>
    </w:p>
    <w:p>
      <w:pPr>
        <w:ind w:firstLine="499"/>
        <w:spacing w:line="560" w:lineRule="exact"/>
        <w:rPr>
          <w:rFonts w:ascii="仿宋" w:hAnsi="仿宋" w:eastAsia="仿宋" w:cs="仿宋"/>
          <w:color w:val="auto"/>
          <w:sz w:val="24"/>
          <w:szCs w:val="24"/>
          <w:highlight w:val="none"/>
        </w:rPr>
      </w:pPr>
      <w:r/>
      <w:bookmarkStart w:id="17" w:name="_Toc28359005"/>
      <w:r/>
      <w:bookmarkStart w:id="18" w:name="_Toc28359082"/>
      <w:r/>
      <w:bookmarkStart w:id="19" w:name="_Toc35393793"/>
      <w:r/>
      <w:bookmarkStart w:id="20" w:name="_Toc38985266"/>
      <w:r/>
      <w:bookmarkStart w:id="21" w:name="_Toc35393624"/>
      <w:r>
        <w:rPr>
          <w:rFonts w:hint="eastAsia" w:ascii="仿宋" w:hAnsi="仿宋" w:eastAsia="仿宋" w:cs="仿宋"/>
          <w:color w:val="auto"/>
          <w:sz w:val="24"/>
          <w:szCs w:val="24"/>
          <w:highlight w:val="none"/>
        </w:rPr>
        <w:t xml:space="preserve">1.时间：招标文件公告发布之日起5个工作日。</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w:t>
      </w:r>
      <w:bookmarkStart w:id="22" w:name="EB0c44ff4da61f4af989d119fe214be450"/>
      <w:r>
        <w:rPr>
          <w:rFonts w:hint="eastAsia" w:ascii="仿宋" w:hAnsi="仿宋" w:eastAsia="仿宋" w:cs="仿宋"/>
          <w:color w:val="auto"/>
          <w:sz w:val="24"/>
          <w:szCs w:val="24"/>
          <w:highlight w:val="none"/>
        </w:rPr>
        <w:t xml:space="preserve">投标人应在招标文件提供的时间内，通过“苏采云”系统（网址： http://jszfcg.jsczt.cn/），使用CA锁登录系统后，找到本项目获取招标文件（后缀名为“.kedt”）。</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3.本项目共分二个采购包。投标人未按要求获取招标文件导致无法投标的，后果自负（其投标文件不予接受）。</w:t>
      </w:r>
      <w:bookmarkEnd w:id="22"/>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四、提交投标文件</w:t>
      </w:r>
      <w:bookmarkEnd w:id="17"/>
      <w:r/>
      <w:bookmarkEnd w:id="18"/>
      <w:r>
        <w:rPr>
          <w:rFonts w:hint="eastAsia" w:ascii="仿宋" w:hAnsi="仿宋" w:eastAsia="仿宋" w:cs="仿宋"/>
          <w:b/>
          <w:bCs/>
          <w:color w:val="auto"/>
          <w:sz w:val="28"/>
          <w:szCs w:val="28"/>
          <w:highlight w:val="none"/>
        </w:rPr>
        <w:t xml:space="preserve">截止时间、开标时间和地点</w:t>
      </w:r>
      <w:bookmarkEnd w:id="19"/>
      <w:r/>
      <w:bookmarkEnd w:id="20"/>
      <w:r/>
      <w:bookmarkEnd w:id="21"/>
      <w:r/>
      <w:r/>
    </w:p>
    <w:p>
      <w:pPr>
        <w:ind w:firstLine="480"/>
        <w:spacing w:line="560" w:lineRule="exact"/>
        <w:rPr>
          <w:rFonts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 xml:space="preserve">1.</w:t>
      </w:r>
      <w:r>
        <w:rPr>
          <w:rFonts w:hint="eastAsia" w:ascii="仿宋" w:hAnsi="仿宋" w:eastAsia="仿宋" w:cs="仿宋"/>
          <w:color w:val="auto"/>
          <w:sz w:val="24"/>
          <w:szCs w:val="24"/>
          <w:highlight w:val="none"/>
        </w:rPr>
        <w:t xml:space="preserve">提交投标文件截止时间、开标时间：</w:t>
      </w:r>
      <w:r>
        <w:rPr>
          <w:rFonts w:hint="eastAsia" w:ascii="仿宋" w:hAnsi="仿宋" w:eastAsia="仿宋" w:cs="仿宋"/>
          <w:b/>
          <w:color w:val="auto"/>
          <w:sz w:val="24"/>
          <w:szCs w:val="24"/>
          <w:highlight w:val="none"/>
          <w:u w:val="single"/>
        </w:rPr>
        <w:t xml:space="preserve">2026年</w:t>
      </w:r>
      <w:r>
        <w:rPr>
          <w:rFonts w:hint="eastAsia" w:ascii="仿宋" w:hAnsi="仿宋" w:eastAsia="仿宋" w:cs="仿宋"/>
          <w:b/>
          <w:color w:val="auto"/>
          <w:sz w:val="24"/>
          <w:szCs w:val="24"/>
          <w:highlight w:val="none"/>
          <w:u w:val="single"/>
          <w:lang w:val="en-US" w:eastAsia="zh-CN"/>
        </w:rPr>
        <w:t xml:space="preserve">6</w:t>
      </w:r>
      <w:r>
        <w:rPr>
          <w:rFonts w:hint="eastAsia" w:ascii="仿宋" w:hAnsi="仿宋" w:eastAsia="仿宋" w:cs="仿宋"/>
          <w:b/>
          <w:color w:val="auto"/>
          <w:sz w:val="24"/>
          <w:szCs w:val="24"/>
          <w:highlight w:val="none"/>
          <w:u w:val="single"/>
        </w:rPr>
        <w:t xml:space="preserve">月</w:t>
      </w:r>
      <w:r>
        <w:rPr>
          <w:rFonts w:hint="eastAsia" w:ascii="仿宋" w:hAnsi="仿宋" w:eastAsia="仿宋" w:cs="仿宋"/>
          <w:b/>
          <w:color w:val="auto"/>
          <w:sz w:val="24"/>
          <w:szCs w:val="24"/>
          <w:highlight w:val="none"/>
          <w:u w:val="single"/>
          <w:lang w:val="en-US" w:eastAsia="zh-CN"/>
        </w:rPr>
        <w:t xml:space="preserve">2</w:t>
      </w:r>
      <w:r>
        <w:rPr>
          <w:rFonts w:hint="eastAsia" w:ascii="仿宋" w:hAnsi="仿宋" w:eastAsia="仿宋" w:cs="仿宋"/>
          <w:b/>
          <w:color w:val="auto"/>
          <w:sz w:val="24"/>
          <w:szCs w:val="24"/>
          <w:highlight w:val="none"/>
          <w:u w:val="single"/>
        </w:rPr>
        <w:t xml:space="preserve">日9点30分</w:t>
      </w:r>
      <w:r>
        <w:rPr>
          <w:rFonts w:hint="eastAsia" w:ascii="仿宋" w:hAnsi="仿宋" w:eastAsia="仿宋" w:cs="仿宋"/>
          <w:bCs/>
          <w:color w:val="auto"/>
          <w:sz w:val="24"/>
          <w:szCs w:val="24"/>
          <w:highlight w:val="none"/>
        </w:rPr>
        <w:t xml:space="preserve">（北京时间）</w:t>
      </w:r>
      <w:r/>
    </w:p>
    <w:p>
      <w:pPr>
        <w:ind w:firstLine="480"/>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2.地点：“苏采云”政府采购交易系统网上开标大厅。</w:t>
      </w:r>
      <w:r/>
    </w:p>
    <w:p>
      <w:pPr>
        <w:ind w:firstLine="499"/>
        <w:spacing w:line="560" w:lineRule="exact"/>
        <w:rPr>
          <w:rFonts w:ascii="仿宋" w:hAnsi="仿宋" w:eastAsia="仿宋" w:cs="仿宋"/>
          <w:b/>
          <w:bCs/>
          <w:color w:val="auto"/>
          <w:sz w:val="28"/>
          <w:szCs w:val="28"/>
          <w:highlight w:val="none"/>
        </w:rPr>
        <w:outlineLvl w:val="1"/>
      </w:pPr>
      <w:r/>
      <w:bookmarkStart w:id="23" w:name="_Toc38985267"/>
      <w:r/>
      <w:bookmarkStart w:id="24" w:name="_Toc28359007"/>
      <w:r/>
      <w:bookmarkStart w:id="25" w:name="_Toc28359084"/>
      <w:r/>
      <w:bookmarkStart w:id="26" w:name="_Toc35393794"/>
      <w:r/>
      <w:bookmarkStart w:id="27" w:name="_Toc35393625"/>
      <w:r>
        <w:rPr>
          <w:rFonts w:hint="eastAsia" w:ascii="仿宋" w:hAnsi="仿宋" w:eastAsia="仿宋" w:cs="仿宋"/>
          <w:b/>
          <w:bCs/>
          <w:color w:val="auto"/>
          <w:sz w:val="28"/>
          <w:szCs w:val="28"/>
          <w:highlight w:val="none"/>
        </w:rPr>
        <w:t xml:space="preserve">五、公告期限</w:t>
      </w:r>
      <w:bookmarkEnd w:id="23"/>
      <w:r/>
      <w:bookmarkEnd w:id="24"/>
      <w:r/>
      <w:bookmarkEnd w:id="25"/>
      <w:r/>
      <w:bookmarkEnd w:id="26"/>
      <w:r/>
      <w:bookmarkEnd w:id="27"/>
      <w:r/>
      <w:r/>
    </w:p>
    <w:p>
      <w:pPr>
        <w:ind w:firstLine="480"/>
        <w:spacing w:line="560" w:lineRule="exact"/>
        <w:rPr>
          <w:rFonts w:ascii="仿宋" w:hAnsi="仿宋" w:eastAsia="仿宋" w:cs="仿宋"/>
          <w:color w:val="auto"/>
          <w:sz w:val="24"/>
          <w:szCs w:val="24"/>
          <w:highlight w:val="none"/>
        </w:rPr>
      </w:pPr>
      <w:r/>
      <w:bookmarkStart w:id="28" w:name="_Toc38985268"/>
      <w:r/>
      <w:bookmarkStart w:id="29" w:name="_Toc35393795"/>
      <w:r/>
      <w:bookmarkStart w:id="30" w:name="_Toc35393626"/>
      <w:r>
        <w:rPr>
          <w:rFonts w:hint="eastAsia" w:ascii="仿宋" w:hAnsi="仿宋" w:eastAsia="仿宋" w:cs="仿宋"/>
          <w:color w:val="auto"/>
          <w:sz w:val="24"/>
          <w:szCs w:val="24"/>
          <w:highlight w:val="none"/>
        </w:rPr>
        <w:t xml:space="preserve">招标公告及招标文件公告期限为自本公告发布之日起5个工作日。</w:t>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六、其他补充事宜</w:t>
      </w:r>
      <w:bookmarkEnd w:id="28"/>
      <w:r/>
      <w:bookmarkEnd w:id="29"/>
      <w:r/>
      <w:bookmarkEnd w:id="30"/>
      <w:r/>
      <w:r/>
    </w:p>
    <w:p>
      <w:pPr>
        <w:ind w:firstLine="480"/>
        <w:spacing w:line="480" w:lineRule="exact"/>
        <w:rPr>
          <w:rFonts w:ascii="仿宋" w:hAnsi="仿宋" w:eastAsia="仿宋" w:cs="仿宋"/>
          <w:color w:val="auto"/>
          <w:sz w:val="24"/>
          <w:szCs w:val="24"/>
          <w:highlight w:val="none"/>
        </w:rPr>
      </w:pPr>
      <w:r/>
      <w:bookmarkStart w:id="31" w:name="_Toc28359085"/>
      <w:r/>
      <w:bookmarkStart w:id="32" w:name="_Toc35393627"/>
      <w:r/>
      <w:bookmarkStart w:id="33" w:name="_Toc38985269"/>
      <w:r/>
      <w:bookmarkStart w:id="34" w:name="_Toc35393796"/>
      <w:r/>
      <w:bookmarkStart w:id="35" w:name="_Toc28359008"/>
      <w:r>
        <w:rPr>
          <w:rFonts w:hint="eastAsia" w:ascii="仿宋" w:hAnsi="仿宋" w:eastAsia="仿宋" w:cs="仿宋"/>
          <w:color w:val="auto"/>
          <w:sz w:val="24"/>
          <w:szCs w:val="24"/>
          <w:highlight w:val="none"/>
        </w:rPr>
        <w:t xml:space="preserve">1.招标公告发布媒体：</w:t>
      </w:r>
      <w:bookmarkStart w:id="36" w:name="OLE_LINK3"/>
      <w:r>
        <w:rPr>
          <w:rFonts w:hint="eastAsia" w:ascii="仿宋" w:hAnsi="仿宋" w:eastAsia="仿宋" w:cs="仿宋"/>
          <w:color w:val="auto"/>
          <w:sz w:val="24"/>
          <w:szCs w:val="24"/>
          <w:highlight w:val="none"/>
        </w:rPr>
        <w:t xml:space="preserve">江苏政府采购网</w:t>
      </w:r>
      <w:bookmarkEnd w:id="36"/>
      <w:r>
        <w:rPr>
          <w:rFonts w:hint="eastAsia" w:ascii="仿宋" w:hAnsi="仿宋" w:eastAsia="仿宋" w:cs="仿宋"/>
          <w:color w:val="auto"/>
          <w:sz w:val="24"/>
          <w:szCs w:val="24"/>
          <w:highlight w:val="none"/>
        </w:rPr>
        <w:t xml:space="preserve">、宿迁市政府采购网等。</w:t>
      </w:r>
      <w:r/>
    </w:p>
    <w:p>
      <w:pPr>
        <w:ind w:firstLine="480"/>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3.宿迁地区“苏采云”系统技术支持客服电话：0527-84363067、0519-86722806。</w:t>
      </w:r>
      <w:r/>
    </w:p>
    <w:p>
      <w:pPr>
        <w:pStyle w:val="772"/>
        <w:ind w:left="0" w:firstLine="480"/>
        <w:keepLines w:val="0"/>
        <w:keepNext w:val="0"/>
        <w:pageBreakBefore w:val="0"/>
        <w:spacing w:line="480" w:lineRule="exac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4.投标人通过苏采云系统参与政府采购项目，相关操作手册详见链接：http://www.ccgp-jiangsu.gov.cn/jiangsu/zlxz/ee/ee3a4bc5a3454aa2b0d9312230633ce9.html。</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质疑渠道：投标人登录“苏采云”系统“项目质疑申请”模块向采购人提出，质疑处理联系方式详见“采购人信息”；</w:t>
      </w:r>
      <w:r>
        <w:rPr>
          <w:rFonts w:hint="eastAsia" w:ascii="仿宋" w:hAnsi="仿宋" w:eastAsia="仿宋" w:cs="仿宋"/>
          <w:color w:val="auto"/>
          <w:sz w:val="24"/>
          <w:szCs w:val="24"/>
          <w:highlight w:val="none"/>
        </w:rPr>
        <w:t xml:space="preserve">财政部门投诉受理电话：0527-84363063。</w:t>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七、本次招标联系方式</w:t>
      </w:r>
      <w:bookmarkEnd w:id="31"/>
      <w:r/>
      <w:bookmarkEnd w:id="32"/>
      <w:r/>
      <w:bookmarkEnd w:id="33"/>
      <w:r/>
      <w:bookmarkEnd w:id="34"/>
      <w:r/>
      <w:bookmarkEnd w:id="35"/>
      <w:r/>
      <w:r/>
    </w:p>
    <w:p>
      <w:pPr>
        <w:ind w:firstLine="480"/>
        <w:jc w:val="left"/>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1.采购人信息</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名称：宿迁市水务工程建设管理中心</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地址：宿迁市人民大道4号</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ascii="仿宋" w:hAnsi="仿宋" w:eastAsia="仿宋" w:cs="仿宋"/>
          <w:color w:val="auto"/>
          <w:sz w:val="24"/>
          <w:szCs w:val="24"/>
          <w:highlight w:val="none"/>
        </w:rPr>
        <w:t xml:space="preserve">万吉祥</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bookmarkStart w:id="37" w:name="_Toc28359009"/>
      <w:r/>
      <w:bookmarkStart w:id="38" w:name="_Toc28359086"/>
      <w:r>
        <w:rPr>
          <w:rFonts w:hint="eastAsia" w:ascii="仿宋" w:hAnsi="仿宋" w:eastAsia="仿宋" w:cs="仿宋"/>
          <w:color w:val="auto"/>
          <w:sz w:val="24"/>
          <w:szCs w:val="24"/>
          <w:highlight w:val="none"/>
        </w:rPr>
        <w:t xml:space="preserve">0527-84399552</w:t>
      </w:r>
      <w:r/>
    </w:p>
    <w:p>
      <w:pPr>
        <w:ind w:firstLine="480"/>
        <w:jc w:val="left"/>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37"/>
      <w:r/>
      <w:bookmarkEnd w:id="38"/>
      <w:r>
        <w:rPr>
          <w:rFonts w:hint="eastAsia" w:ascii="仿宋" w:hAnsi="仿宋" w:eastAsia="仿宋" w:cs="仿宋"/>
          <w:color w:val="auto"/>
          <w:sz w:val="24"/>
          <w:szCs w:val="24"/>
          <w:highlight w:val="none"/>
        </w:rPr>
        <w:t xml:space="preserve">采购代理机构信息</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名称：江苏苏盛工程造价咨询有限公司</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地址：南京市雨花台区花神大道</w:t>
      </w:r>
      <w:r>
        <w:rPr>
          <w:rFonts w:ascii="仿宋" w:hAnsi="仿宋" w:eastAsia="仿宋" w:cs="仿宋"/>
          <w:color w:val="auto"/>
          <w:sz w:val="24"/>
          <w:szCs w:val="24"/>
          <w:highlight w:val="none"/>
        </w:rPr>
        <w:t xml:space="preserve">23</w:t>
      </w:r>
      <w:r>
        <w:rPr>
          <w:rFonts w:hint="eastAsia" w:ascii="仿宋" w:hAnsi="仿宋" w:eastAsia="仿宋" w:cs="仿宋"/>
          <w:color w:val="auto"/>
          <w:sz w:val="24"/>
          <w:szCs w:val="24"/>
          <w:highlight w:val="none"/>
        </w:rPr>
        <w:t xml:space="preserve">号</w:t>
      </w:r>
      <w:r>
        <w:rPr>
          <w:rFonts w:ascii="仿宋" w:hAnsi="仿宋" w:eastAsia="仿宋" w:cs="仿宋"/>
          <w:color w:val="auto"/>
          <w:sz w:val="24"/>
          <w:szCs w:val="24"/>
          <w:highlight w:val="none"/>
        </w:rPr>
        <w:t xml:space="preserve">10</w:t>
      </w:r>
      <w:r>
        <w:rPr>
          <w:rFonts w:hint="eastAsia" w:ascii="仿宋" w:hAnsi="仿宋" w:eastAsia="仿宋" w:cs="仿宋"/>
          <w:color w:val="auto"/>
          <w:sz w:val="24"/>
          <w:szCs w:val="24"/>
          <w:highlight w:val="none"/>
        </w:rPr>
        <w:t xml:space="preserve">号楼</w:t>
      </w:r>
      <w:r>
        <w:rPr>
          <w:rFonts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楼</w:t>
      </w:r>
      <w:r>
        <w:rPr>
          <w:rFonts w:ascii="仿宋" w:hAnsi="仿宋" w:eastAsia="仿宋" w:cs="仿宋"/>
          <w:color w:val="auto"/>
          <w:sz w:val="24"/>
          <w:szCs w:val="24"/>
          <w:highlight w:val="none"/>
        </w:rPr>
        <w:t xml:space="preserve">1038</w:t>
      </w:r>
      <w:r>
        <w:rPr>
          <w:rFonts w:hint="eastAsia" w:ascii="仿宋" w:hAnsi="仿宋" w:eastAsia="仿宋" w:cs="仿宋"/>
          <w:color w:val="auto"/>
          <w:sz w:val="24"/>
          <w:szCs w:val="24"/>
          <w:highlight w:val="none"/>
        </w:rPr>
        <w:t xml:space="preserve">室</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联系人：张玉清、王杨</w:t>
      </w:r>
      <w:r/>
    </w:p>
    <w:p>
      <w:pPr>
        <w:ind w:left="479" w:firstLine="180"/>
        <w:jc w:val="left"/>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联系方式：025-86570485  173144</w:t>
      </w:r>
      <w:r>
        <w:rPr>
          <w:rFonts w:ascii="仿宋" w:hAnsi="仿宋" w:eastAsia="仿宋" w:cs="仿宋"/>
          <w:color w:val="auto"/>
          <w:sz w:val="24"/>
          <w:szCs w:val="24"/>
          <w:highlight w:val="none"/>
        </w:rPr>
        <w:t xml:space="preserve">0</w:t>
      </w:r>
      <w:r>
        <w:rPr>
          <w:rFonts w:hint="eastAsia" w:ascii="仿宋" w:hAnsi="仿宋" w:eastAsia="仿宋" w:cs="仿宋"/>
          <w:color w:val="auto"/>
          <w:sz w:val="24"/>
          <w:szCs w:val="24"/>
          <w:highlight w:val="none"/>
        </w:rPr>
        <w:t xml:space="preserve">8268</w:t>
      </w:r>
      <w:r/>
    </w:p>
    <w:p>
      <w:pPr>
        <w:jc w:val="center"/>
        <w:spacing w:line="360" w:lineRule="auto"/>
        <w:rPr>
          <w:rFonts w:ascii="仿宋" w:hAnsi="仿宋" w:eastAsia="仿宋" w:cs="仿宋"/>
          <w:color w:val="auto"/>
          <w:sz w:val="44"/>
          <w:szCs w:val="44"/>
          <w:highlight w:val="none"/>
        </w:rPr>
        <w:outlineLvl w:val="0"/>
      </w:pPr>
      <w:r/>
      <w:bookmarkStart w:id="39" w:name="_Toc120614211"/>
      <w:r>
        <w:rPr>
          <w:rFonts w:hint="eastAsia" w:ascii="仿宋" w:hAnsi="仿宋" w:eastAsia="仿宋" w:cs="仿宋"/>
          <w:color w:val="auto"/>
          <w:highlight w:val="none"/>
        </w:rPr>
        <w:br w:type="page" w:clear="all"/>
      </w:r>
      <w:bookmarkEnd w:id="39"/>
      <w:r/>
      <w:bookmarkStart w:id="40" w:name="_Toc513029202"/>
      <w:r/>
      <w:bookmarkStart w:id="41" w:name="_Toc7933"/>
      <w:r/>
      <w:bookmarkStart w:id="42" w:name="_Toc16938518"/>
      <w:r/>
      <w:bookmarkStart w:id="43" w:name="_Toc120614213"/>
      <w:r/>
      <w:bookmarkStart w:id="44" w:name="_Toc20823274"/>
      <w:r>
        <w:rPr>
          <w:rFonts w:hint="eastAsia" w:ascii="仿宋" w:hAnsi="仿宋" w:eastAsia="仿宋" w:cs="仿宋"/>
          <w:b/>
          <w:bCs/>
          <w:color w:val="auto"/>
          <w:sz w:val="44"/>
          <w:szCs w:val="44"/>
          <w:highlight w:val="none"/>
        </w:rPr>
        <w:t xml:space="preserve">第二章  投标人须知</w:t>
      </w:r>
      <w:bookmarkEnd w:id="40"/>
      <w:r/>
      <w:bookmarkEnd w:id="41"/>
      <w:r/>
      <w:bookmarkEnd w:id="42"/>
      <w:r/>
      <w:bookmarkEnd w:id="43"/>
      <w:r/>
      <w:bookmarkEnd w:id="44"/>
      <w:r/>
      <w:r/>
    </w:p>
    <w:p>
      <w:pPr>
        <w:ind w:firstLine="499"/>
        <w:spacing w:line="560" w:lineRule="exact"/>
        <w:rPr>
          <w:rFonts w:ascii="仿宋" w:hAnsi="仿宋" w:eastAsia="仿宋" w:cs="仿宋"/>
          <w:b/>
          <w:bCs/>
          <w:color w:val="auto"/>
          <w:sz w:val="28"/>
          <w:szCs w:val="28"/>
          <w:highlight w:val="none"/>
        </w:rPr>
        <w:outlineLvl w:val="1"/>
      </w:pPr>
      <w:r/>
      <w:bookmarkStart w:id="45" w:name="_Toc4529"/>
      <w:r>
        <w:rPr>
          <w:rFonts w:hint="eastAsia" w:ascii="仿宋" w:hAnsi="仿宋" w:eastAsia="仿宋" w:cs="仿宋"/>
          <w:b/>
          <w:bCs/>
          <w:color w:val="auto"/>
          <w:sz w:val="28"/>
          <w:szCs w:val="28"/>
          <w:highlight w:val="none"/>
        </w:rPr>
        <w:t xml:space="preserve">投标人须知前附表：</w:t>
      </w:r>
      <w:bookmarkEnd w:id="45"/>
      <w:r/>
      <w:r/>
    </w:p>
    <w:tbl>
      <w:tblPr>
        <w:tblStyle w:val="771"/>
        <w:tblpPr w:horzAnchor="page" w:tblpX="1530" w:vertAnchor="text" w:tblpY="22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744"/>
        <w:gridCol w:w="6461"/>
      </w:tblGrid>
      <w:tr>
        <w:trPr>
          <w:trHeight w:val="462"/>
        </w:trPr>
        <w:tc>
          <w:tcPr>
            <w:tcW w:w="412" w:type="pct"/>
            <w:vAlign w:val="center"/>
            <w:textDirection w:val="lrTb"/>
            <w:noWrap/>
          </w:tcPr>
          <w:p>
            <w:pPr>
              <w:jc w:val="center"/>
              <w:rPr>
                <w:rFonts w:ascii="仿宋" w:hAnsi="仿宋" w:eastAsia="仿宋" w:cs="仿宋"/>
                <w:b/>
                <w:color w:val="auto"/>
                <w:sz w:val="24"/>
                <w:szCs w:val="24"/>
                <w:highlight w:val="none"/>
              </w:rPr>
            </w:pPr>
            <w:r/>
            <w:bookmarkStart w:id="46" w:name="_Toc81575191"/>
            <w:r/>
            <w:bookmarkStart w:id="47" w:name="_Toc81575154"/>
            <w:r/>
            <w:bookmarkStart w:id="48" w:name="_Toc29262"/>
            <w:r>
              <w:rPr>
                <w:rFonts w:hint="eastAsia" w:ascii="仿宋" w:hAnsi="仿宋" w:eastAsia="仿宋" w:cs="仿宋"/>
                <w:b/>
                <w:color w:val="auto"/>
                <w:sz w:val="24"/>
                <w:szCs w:val="24"/>
                <w:highlight w:val="none"/>
              </w:rPr>
              <w:t xml:space="preserve">序号</w:t>
            </w:r>
            <w:r/>
          </w:p>
        </w:tc>
        <w:tc>
          <w:tcPr>
            <w:tcW w:w="975" w:type="pct"/>
            <w:vAlign w:val="center"/>
            <w:textDirection w:val="lrTb"/>
            <w:noWrap/>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内容</w:t>
            </w:r>
            <w:r/>
          </w:p>
        </w:tc>
        <w:tc>
          <w:tcPr>
            <w:tcW w:w="3612" w:type="pct"/>
            <w:vAlign w:val="center"/>
            <w:textDirection w:val="lrTb"/>
            <w:noWrap/>
          </w:tcPr>
          <w:p>
            <w:pPr>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说明及要求</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bookmarkStart w:id="49" w:name="EB9a5853ee094f4f0ea6ec3169265f6f2c"/>
            <w:r>
              <w:rPr>
                <w:rFonts w:hint="eastAsia" w:ascii="仿宋" w:hAnsi="仿宋" w:eastAsia="仿宋" w:cs="仿宋"/>
                <w:color w:val="auto"/>
                <w:sz w:val="24"/>
                <w:szCs w:val="24"/>
                <w:highlight w:val="none"/>
              </w:rPr>
              <w:t xml:space="preserve">属性按以下第</w:t>
            </w:r>
            <w:bookmarkEnd w:id="49"/>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种确定：</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w:t>
            </w:r>
            <w:bookmarkStart w:id="50" w:name="EBd5c6c026f9674c39b21b31ecd0c1e7fa"/>
            <w:r>
              <w:rPr>
                <w:rFonts w:hint="eastAsia" w:ascii="仿宋" w:hAnsi="仿宋" w:eastAsia="仿宋" w:cs="仿宋"/>
                <w:color w:val="auto"/>
                <w:sz w:val="24"/>
                <w:szCs w:val="24"/>
                <w:highlight w:val="none"/>
              </w:rPr>
              <w:t xml:space="preserve">采购；2.</w:t>
            </w:r>
            <w:bookmarkEnd w:id="50"/>
            <w:r>
              <w:rPr>
                <w:rFonts w:hint="eastAsia" w:ascii="仿宋" w:hAnsi="仿宋" w:eastAsia="仿宋" w:cs="仿宋"/>
                <w:color w:val="auto"/>
                <w:sz w:val="24"/>
                <w:szCs w:val="24"/>
                <w:highlight w:val="none"/>
              </w:rPr>
              <w:t xml:space="preserve">服务</w:t>
            </w:r>
            <w:bookmarkStart w:id="51" w:name="EBf7d2a4f44ecb4166a93ea852e73be69f"/>
            <w:r>
              <w:rPr>
                <w:rFonts w:hint="eastAsia" w:ascii="仿宋" w:hAnsi="仿宋" w:eastAsia="仿宋" w:cs="仿宋"/>
                <w:color w:val="auto"/>
                <w:sz w:val="24"/>
                <w:szCs w:val="24"/>
                <w:highlight w:val="none"/>
              </w:rPr>
              <w:t xml:space="preserve">采购；3.</w:t>
            </w:r>
            <w:bookmarkEnd w:id="51"/>
            <w:r>
              <w:rPr>
                <w:rFonts w:hint="eastAsia" w:ascii="仿宋" w:hAnsi="仿宋" w:eastAsia="仿宋" w:cs="仿宋"/>
                <w:color w:val="auto"/>
                <w:sz w:val="24"/>
                <w:szCs w:val="24"/>
                <w:highlight w:val="none"/>
              </w:rPr>
              <w:t xml:space="preserve">工程采购。</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投标有效期</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bookmarkStart w:id="52" w:name="EBd40b5fb42f2944a3b45e579ce3941f02"/>
            <w:r/>
            <w:bookmarkEnd w:id="52"/>
            <w:r>
              <w:rPr>
                <w:rFonts w:hint="eastAsia" w:ascii="仿宋" w:hAnsi="仿宋" w:eastAsia="仿宋" w:cs="仿宋"/>
                <w:color w:val="auto"/>
                <w:sz w:val="24"/>
                <w:szCs w:val="24"/>
                <w:highlight w:val="none"/>
              </w:rPr>
              <w:t xml:space="preserve">60日（从提交投标文件截止之日起算）</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投标文件份数</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提交加密电子投标文件</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份。</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“苏采云”政府采购交易系统网上开标大厅进行不见面开标。</w:t>
            </w:r>
            <w:r/>
          </w:p>
        </w:tc>
      </w:tr>
      <w:tr>
        <w:trPr>
          <w:trHeight w:val="90"/>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进口产品</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种方式确定：</w:t>
            </w:r>
            <w:r/>
          </w:p>
          <w:p>
            <w:pPr>
              <w:jc w:val="left"/>
              <w:spacing w:line="3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1.接受进口产品。</w:t>
            </w:r>
            <w:r>
              <w:rPr>
                <w:rFonts w:hint="eastAsia" w:ascii="仿宋" w:hAnsi="仿宋" w:eastAsia="仿宋" w:cs="仿宋"/>
                <w:color w:val="auto"/>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color w:val="auto"/>
                <w:sz w:val="24"/>
                <w:szCs w:val="24"/>
                <w:highlight w:val="none"/>
              </w:rPr>
              <w:t xml:space="preserve">；</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2.不接受进口产品。</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评标办法</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具体评标办法详见招标文件第三章。</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评标委员会依据招标文件规定的评标办法和标准</w:t>
            </w:r>
            <w:r>
              <w:rPr>
                <w:rFonts w:hint="eastAsia" w:ascii="仿宋" w:hAnsi="仿宋" w:eastAsia="仿宋" w:cs="仿宋"/>
                <w:color w:val="auto"/>
                <w:sz w:val="24"/>
                <w:szCs w:val="24"/>
                <w:highlight w:val="none"/>
                <w:lang w:val="en-US" w:eastAsia="zh-CN"/>
              </w:rPr>
              <w:t xml:space="preserve">按包分别</w:t>
            </w:r>
            <w:r>
              <w:rPr>
                <w:rFonts w:hint="eastAsia" w:ascii="仿宋" w:hAnsi="仿宋" w:eastAsia="仿宋" w:cs="仿宋"/>
                <w:color w:val="auto"/>
                <w:sz w:val="24"/>
                <w:szCs w:val="24"/>
                <w:highlight w:val="none"/>
              </w:rPr>
              <w:t xml:space="preserve">推荐</w:t>
            </w:r>
            <w:r>
              <w:rPr>
                <w:rFonts w:hint="eastAsia" w:ascii="仿宋" w:hAnsi="仿宋" w:eastAsia="仿宋" w:cs="仿宋"/>
                <w:color w:val="auto"/>
                <w:sz w:val="24"/>
                <w:szCs w:val="24"/>
                <w:highlight w:val="none"/>
                <w:u w:val="single"/>
              </w:rPr>
              <w:t xml:space="preserve">3</w:t>
            </w:r>
            <w:r>
              <w:rPr>
                <w:rFonts w:hint="eastAsia" w:ascii="仿宋" w:hAnsi="仿宋" w:eastAsia="仿宋" w:cs="仿宋"/>
                <w:color w:val="auto"/>
                <w:sz w:val="24"/>
                <w:szCs w:val="24"/>
                <w:highlight w:val="none"/>
              </w:rPr>
              <w:t xml:space="preserve">名中标候选人。</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确定中标人</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种方式确定中标人：</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1.采购人按规定在评标委员会推荐的中标候选人中确定中标人；</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2.采购人授权评标委员会直接确定中标人。</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分包要求</w:t>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bookmarkStart w:id="53" w:name="EBebac1462c5d9459fbda8a75065c2455d"/>
            <w:r>
              <w:rPr>
                <w:rFonts w:hint="eastAsia" w:ascii="仿宋" w:hAnsi="仿宋" w:eastAsia="仿宋" w:cs="仿宋"/>
                <w:color w:val="auto"/>
                <w:sz w:val="24"/>
                <w:szCs w:val="24"/>
                <w:highlight w:val="none"/>
              </w:rPr>
              <w:t xml:space="preserve">本项目的非主体、非关键性工作是否允许分包</w:t>
            </w:r>
            <w:bookmarkEnd w:id="53"/>
            <w:r>
              <w:rPr>
                <w:rFonts w:hint="eastAsia" w:ascii="仿宋" w:hAnsi="仿宋" w:eastAsia="仿宋" w:cs="仿宋"/>
                <w:color w:val="auto"/>
                <w:sz w:val="24"/>
                <w:szCs w:val="24"/>
                <w:highlight w:val="none"/>
              </w:rPr>
              <w:t xml:space="preserve">按以下第</w:t>
            </w:r>
            <w:r>
              <w:rPr>
                <w:rFonts w:hint="eastAsia" w:ascii="仿宋" w:hAnsi="仿宋" w:eastAsia="仿宋" w:cs="仿宋"/>
                <w:color w:val="auto"/>
                <w:sz w:val="24"/>
                <w:szCs w:val="24"/>
                <w:highlight w:val="none"/>
                <w:u w:val="single"/>
                <w:lang w:val="en-US" w:eastAsia="zh-CN"/>
              </w:rPr>
              <w:t xml:space="preserve">1</w:t>
            </w:r>
            <w:r>
              <w:rPr>
                <w:rFonts w:hint="eastAsia" w:ascii="仿宋" w:hAnsi="仿宋" w:eastAsia="仿宋" w:cs="仿宋"/>
                <w:color w:val="auto"/>
                <w:sz w:val="24"/>
                <w:szCs w:val="24"/>
                <w:highlight w:val="none"/>
              </w:rPr>
              <w:t xml:space="preserve">种方式确定：</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1.允许分包</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本项目</w:t>
            </w:r>
            <w:r>
              <w:rPr>
                <w:rFonts w:hint="eastAsia" w:ascii="仿宋" w:hAnsi="仿宋" w:eastAsia="仿宋" w:cs="仿宋"/>
                <w:color w:val="auto"/>
                <w:sz w:val="24"/>
                <w:szCs w:val="24"/>
                <w:highlight w:val="none"/>
              </w:rPr>
              <w:t xml:space="preserve">允许</w:t>
            </w:r>
            <w:r>
              <w:rPr>
                <w:rFonts w:hint="eastAsia" w:ascii="仿宋" w:hAnsi="仿宋" w:eastAsia="仿宋" w:cs="仿宋"/>
                <w:color w:val="auto"/>
                <w:sz w:val="24"/>
                <w:szCs w:val="24"/>
                <w:highlight w:val="none"/>
                <w:lang w:eastAsia="zh-CN"/>
              </w:rPr>
              <w:t xml:space="preserve">信息化平台和AI应用</w:t>
            </w:r>
            <w:r>
              <w:rPr>
                <w:rFonts w:hint="eastAsia" w:ascii="仿宋" w:hAnsi="仿宋" w:eastAsia="仿宋" w:cs="仿宋"/>
                <w:color w:val="auto"/>
                <w:sz w:val="24"/>
                <w:szCs w:val="24"/>
                <w:highlight w:val="none"/>
                <w:lang w:val="en-US" w:eastAsia="zh-CN"/>
              </w:rPr>
              <w:t xml:space="preserve">开发分包，分包须经采购人同意</w:t>
            </w:r>
            <w:r>
              <w:rPr>
                <w:rFonts w:hint="eastAsia" w:ascii="仿宋" w:hAnsi="仿宋" w:eastAsia="仿宋" w:cs="仿宋"/>
                <w:color w:val="auto"/>
                <w:sz w:val="24"/>
                <w:szCs w:val="24"/>
                <w:highlight w:val="none"/>
              </w:rPr>
              <w:t xml:space="preserve">；</w:t>
            </w:r>
            <w:r/>
          </w:p>
          <w:p>
            <w:pPr>
              <w:jc w:val="left"/>
              <w:spacing w:line="400" w:lineRule="exact"/>
              <w:tabs>
                <w:tab w:val="left" w:pos="2369" w:leader="none"/>
              </w:tabs>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2.不允许分包。</w:t>
            </w:r>
            <w:r>
              <w:rPr>
                <w:rFonts w:hint="eastAsia" w:ascii="仿宋" w:hAnsi="仿宋" w:eastAsia="仿宋" w:cs="仿宋"/>
                <w:color w:val="auto"/>
                <w:sz w:val="24"/>
                <w:szCs w:val="24"/>
                <w:highlight w:val="none"/>
              </w:rPr>
              <w:tab/>
            </w:r>
            <w:r/>
          </w:p>
        </w:tc>
      </w:tr>
      <w:tr>
        <w:trPr>
          <w:trHeight w:val="881"/>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代理费用收取方式及标准</w:t>
            </w:r>
            <w:r/>
          </w:p>
        </w:tc>
        <w:tc>
          <w:tcPr>
            <w:tcW w:w="3612" w:type="pct"/>
            <w:vAlign w:val="center"/>
            <w:textDirection w:val="lrTb"/>
            <w:noWrap/>
          </w:tcPr>
          <w:p>
            <w:pPr>
              <w:spacing w:line="400" w:lineRule="exact"/>
              <w:rPr>
                <w:rFonts w:ascii="仿宋" w:hAnsi="仿宋" w:eastAsia="仿宋" w:cs="仿宋"/>
                <w:color w:val="auto"/>
                <w:sz w:val="24"/>
                <w:szCs w:val="24"/>
                <w:highlight w:val="none"/>
              </w:rPr>
            </w:pPr>
            <w:r/>
            <w:bookmarkStart w:id="54" w:name="EBfe735bb6fc4d4e5e9e350f940db98c5f"/>
            <w:r/>
            <w:bookmarkEnd w:id="54"/>
            <w:r>
              <w:rPr>
                <w:rFonts w:hint="eastAsia" w:ascii="仿宋" w:hAnsi="仿宋" w:eastAsia="仿宋" w:cs="仿宋"/>
                <w:color w:val="auto"/>
                <w:sz w:val="24"/>
                <w:szCs w:val="24"/>
                <w:highlight w:val="none"/>
              </w:rPr>
              <w:t xml:space="preserve">招标代理费收费参照《招标代理服务收费管理暂行办法》（计价格〔2002〕1980号）计费标准×70%计取，计算基数为中标价，约定由中标人</w:t>
            </w:r>
            <w:r>
              <w:rPr>
                <w:rFonts w:hint="eastAsia" w:ascii="仿宋" w:hAnsi="仿宋" w:eastAsia="仿宋" w:cs="仿宋"/>
                <w:color w:val="auto"/>
                <w:sz w:val="24"/>
                <w:szCs w:val="24"/>
                <w:highlight w:val="none"/>
                <w:lang w:val="en-US" w:eastAsia="zh-CN"/>
              </w:rPr>
              <w:t xml:space="preserve">代为</w:t>
            </w:r>
            <w:r>
              <w:rPr>
                <w:rFonts w:hint="eastAsia" w:ascii="仿宋" w:hAnsi="仿宋" w:eastAsia="仿宋" w:cs="仿宋"/>
                <w:color w:val="auto"/>
                <w:sz w:val="24"/>
                <w:szCs w:val="24"/>
                <w:highlight w:val="none"/>
              </w:rPr>
              <w:t xml:space="preserve">支付，此项费用含在投标报价中，不单独列项，投标人编制投标文件时考虑到投标报价中。</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收款单位户名：江苏苏盛工程造价咨询有限公司</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 户 行：中信银行南京市上海路支行</w:t>
            </w:r>
            <w:r/>
          </w:p>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    号：7321510182800011817</w:t>
            </w:r>
            <w:r/>
          </w:p>
        </w:tc>
      </w:tr>
      <w:tr>
        <w:trPr/>
        <w:tc>
          <w:tcPr>
            <w:tcW w:w="412"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975" w:type="pct"/>
            <w:vAlign w:val="center"/>
            <w:textDirection w:val="lrTb"/>
            <w:noWrap/>
          </w:tcPr>
          <w:p>
            <w:pPr>
              <w:jc w:val="center"/>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bookmarkEnd w:id="46"/>
            <w:r/>
            <w:bookmarkEnd w:id="47"/>
            <w:r/>
            <w:bookmarkEnd w:id="48"/>
            <w:r/>
            <w:r/>
          </w:p>
        </w:tc>
        <w:tc>
          <w:tcPr>
            <w:tcW w:w="3612" w:type="pct"/>
            <w:vAlign w:val="center"/>
            <w:textDirection w:val="lrTb"/>
            <w:noWrap/>
          </w:tcPr>
          <w:p>
            <w:pPr>
              <w:jc w:val="left"/>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信用信息查询截止时间：资格审查结束前。由采购人在资格审查现场查询信用信息，网页截屏打印，查询结果留存并归档。</w:t>
            </w:r>
            <w:r/>
          </w:p>
        </w:tc>
      </w:tr>
    </w:tbl>
    <w:p>
      <w:pPr>
        <w:rPr>
          <w:rFonts w:ascii="仿宋" w:hAnsi="仿宋" w:eastAsia="仿宋" w:cs="仿宋"/>
          <w:color w:val="auto"/>
          <w:sz w:val="20"/>
          <w:highlight w:val="none"/>
        </w:rPr>
      </w:pPr>
      <w:r>
        <w:rPr>
          <w:rFonts w:ascii="仿宋" w:hAnsi="仿宋" w:eastAsia="仿宋" w:cs="仿宋"/>
          <w:color w:val="auto"/>
          <w:sz w:val="20"/>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b/>
          <w:bCs/>
          <w:color w:val="auto"/>
          <w:sz w:val="28"/>
          <w:szCs w:val="28"/>
          <w:highlight w:val="none"/>
        </w:rPr>
      </w:pPr>
      <w:r/>
      <w:bookmarkStart w:id="55" w:name="_Toc20823275"/>
      <w:r/>
      <w:bookmarkStart w:id="56" w:name="_Toc120614214"/>
      <w:r/>
      <w:bookmarkStart w:id="57" w:name="_Toc513029203"/>
      <w:r/>
      <w:bookmarkStart w:id="58" w:name="_Toc16938519"/>
      <w:r>
        <w:rPr>
          <w:rFonts w:hint="eastAsia" w:ascii="仿宋" w:hAnsi="仿宋" w:eastAsia="仿宋" w:cs="仿宋"/>
          <w:b/>
          <w:bCs/>
          <w:color w:val="auto"/>
          <w:sz w:val="28"/>
          <w:szCs w:val="28"/>
          <w:highlight w:val="none"/>
        </w:rPr>
        <w:br w:type="page" w:clear="all"/>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一、总则</w:t>
      </w:r>
      <w:bookmarkEnd w:id="55"/>
      <w:r/>
      <w:bookmarkEnd w:id="56"/>
      <w:r/>
      <w:bookmarkEnd w:id="57"/>
      <w:r/>
      <w:bookmarkEnd w:id="58"/>
      <w:r/>
      <w:r/>
    </w:p>
    <w:p>
      <w:pPr>
        <w:ind w:firstLine="480"/>
        <w:spacing w:line="560" w:lineRule="exact"/>
        <w:rPr>
          <w:rFonts w:ascii="仿宋" w:hAnsi="仿宋" w:eastAsia="仿宋" w:cs="仿宋"/>
          <w:b/>
          <w:bCs/>
          <w:color w:val="auto"/>
          <w:sz w:val="24"/>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仿宋" w:hAnsi="仿宋" w:eastAsia="仿宋" w:cs="仿宋"/>
          <w:b/>
          <w:bCs/>
          <w:color w:val="auto"/>
          <w:sz w:val="24"/>
          <w:highlight w:val="none"/>
        </w:rPr>
        <w:t xml:space="preserve">1</w:t>
      </w:r>
      <w:bookmarkEnd w:id="60"/>
      <w:r>
        <w:rPr>
          <w:rFonts w:hint="eastAsia" w:ascii="仿宋" w:hAnsi="仿宋" w:eastAsia="仿宋" w:cs="仿宋"/>
          <w:b/>
          <w:bCs/>
          <w:color w:val="auto"/>
          <w:sz w:val="24"/>
          <w:highlight w:val="none"/>
        </w:rPr>
        <w:t xml:space="preserve">、招标方式</w:t>
      </w:r>
      <w:bookmarkEnd w:id="61"/>
      <w:r/>
      <w:bookmarkEnd w:id="62"/>
      <w:r/>
      <w:bookmarkEnd w:id="63"/>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 本次招标采取公开招标方式。</w:t>
      </w:r>
      <w:r/>
    </w:p>
    <w:p>
      <w:pPr>
        <w:ind w:firstLine="480"/>
        <w:spacing w:line="560" w:lineRule="exact"/>
        <w:rPr>
          <w:rFonts w:ascii="仿宋" w:hAnsi="仿宋" w:eastAsia="仿宋" w:cs="仿宋"/>
          <w:b/>
          <w:bCs/>
          <w:color w:val="auto"/>
          <w:sz w:val="24"/>
          <w:highlight w:val="none"/>
        </w:rPr>
      </w:pPr>
      <w:r/>
      <w:bookmarkStart w:id="64" w:name="_Toc513029205"/>
      <w:r/>
      <w:bookmarkStart w:id="65" w:name="_Toc16938521"/>
      <w:r/>
      <w:bookmarkStart w:id="66" w:name="_Toc20823277"/>
      <w:r>
        <w:rPr>
          <w:rFonts w:hint="eastAsia" w:ascii="仿宋" w:hAnsi="仿宋" w:eastAsia="仿宋" w:cs="仿宋"/>
          <w:b/>
          <w:bCs/>
          <w:color w:val="auto"/>
          <w:sz w:val="24"/>
          <w:highlight w:val="none"/>
        </w:rPr>
        <w:t xml:space="preserve">2、合格的投标人</w:t>
      </w:r>
      <w:bookmarkEnd w:id="64"/>
      <w:r/>
      <w:bookmarkEnd w:id="65"/>
      <w:r/>
      <w:bookmarkEnd w:id="66"/>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 满足本文件实质性要求和条件的规定。</w:t>
      </w:r>
      <w:r/>
    </w:p>
    <w:p>
      <w:pPr>
        <w:ind w:firstLine="480"/>
        <w:spacing w:line="560" w:lineRule="exact"/>
        <w:rPr>
          <w:rFonts w:ascii="仿宋" w:hAnsi="仿宋" w:eastAsia="仿宋" w:cs="仿宋"/>
          <w:b/>
          <w:bCs/>
          <w:color w:val="auto"/>
          <w:sz w:val="24"/>
          <w:highlight w:val="none"/>
        </w:rPr>
      </w:pPr>
      <w:r/>
      <w:bookmarkStart w:id="67" w:name="_Toc513029206"/>
      <w:r/>
      <w:bookmarkStart w:id="68" w:name="_Toc20823278"/>
      <w:r/>
      <w:bookmarkStart w:id="69" w:name="_Toc16938522"/>
      <w:r>
        <w:rPr>
          <w:rFonts w:hint="eastAsia" w:ascii="仿宋" w:hAnsi="仿宋" w:eastAsia="仿宋" w:cs="仿宋"/>
          <w:b/>
          <w:bCs/>
          <w:color w:val="auto"/>
          <w:sz w:val="24"/>
          <w:highlight w:val="none"/>
        </w:rPr>
        <w:t xml:space="preserve">3、适用法律</w:t>
      </w:r>
      <w:bookmarkEnd w:id="67"/>
      <w:r/>
      <w:bookmarkEnd w:id="68"/>
      <w:r/>
      <w:bookmarkEnd w:id="69"/>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本次招标及由此产生的合同受中华人民共和国有关的法律法规制约和保护。</w:t>
      </w:r>
      <w:r/>
    </w:p>
    <w:p>
      <w:pPr>
        <w:ind w:firstLine="480"/>
        <w:spacing w:line="560" w:lineRule="exact"/>
        <w:rPr>
          <w:rFonts w:ascii="仿宋" w:hAnsi="仿宋" w:eastAsia="仿宋" w:cs="仿宋"/>
          <w:b/>
          <w:bCs/>
          <w:color w:val="auto"/>
          <w:sz w:val="24"/>
          <w:highlight w:val="none"/>
        </w:rPr>
      </w:pPr>
      <w:r/>
      <w:bookmarkStart w:id="70" w:name="_Toc20823279"/>
      <w:r/>
      <w:bookmarkStart w:id="71" w:name="_Toc16938523"/>
      <w:r/>
      <w:bookmarkStart w:id="72" w:name="_Toc462564067"/>
      <w:r/>
      <w:bookmarkStart w:id="73" w:name="_Toc513029207"/>
      <w:r>
        <w:rPr>
          <w:rFonts w:hint="eastAsia" w:ascii="仿宋" w:hAnsi="仿宋" w:eastAsia="仿宋" w:cs="仿宋"/>
          <w:b/>
          <w:bCs/>
          <w:color w:val="auto"/>
          <w:sz w:val="24"/>
          <w:highlight w:val="none"/>
        </w:rPr>
        <w:t xml:space="preserve">4、投标费用</w:t>
      </w:r>
      <w:bookmarkEnd w:id="70"/>
      <w:r/>
      <w:bookmarkEnd w:id="71"/>
      <w:r/>
      <w:bookmarkEnd w:id="72"/>
      <w:r/>
      <w:bookmarkEnd w:id="73"/>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投标人应自行承担所有参加投标有关的费用。</w:t>
      </w:r>
      <w:r/>
    </w:p>
    <w:p>
      <w:pPr>
        <w:ind w:firstLine="499"/>
        <w:spacing w:line="560" w:lineRule="exact"/>
        <w:rPr>
          <w:rFonts w:ascii="仿宋" w:hAnsi="仿宋" w:eastAsia="仿宋" w:cs="仿宋"/>
          <w:b/>
          <w:bCs/>
          <w:color w:val="auto"/>
          <w:sz w:val="28"/>
          <w:szCs w:val="28"/>
          <w:highlight w:val="none"/>
        </w:rPr>
        <w:outlineLvl w:val="1"/>
      </w:pPr>
      <w:r/>
      <w:bookmarkStart w:id="74" w:name="_Toc120614215"/>
      <w:r/>
      <w:bookmarkStart w:id="75" w:name="_Toc513029209"/>
      <w:r/>
      <w:bookmarkStart w:id="76" w:name="_Toc16938525"/>
      <w:r/>
      <w:bookmarkStart w:id="77" w:name="_Toc20823281"/>
      <w:r>
        <w:rPr>
          <w:rFonts w:hint="eastAsia" w:ascii="仿宋" w:hAnsi="仿宋" w:eastAsia="仿宋" w:cs="仿宋"/>
          <w:b/>
          <w:bCs/>
          <w:color w:val="auto"/>
          <w:sz w:val="28"/>
          <w:szCs w:val="28"/>
          <w:highlight w:val="none"/>
        </w:rPr>
        <w:t xml:space="preserve">二、招标文件</w:t>
      </w:r>
      <w:bookmarkEnd w:id="74"/>
      <w:r/>
      <w:bookmarkEnd w:id="75"/>
      <w:r/>
      <w:bookmarkEnd w:id="76"/>
      <w:r/>
      <w:bookmarkEnd w:id="77"/>
      <w:r/>
      <w:r/>
    </w:p>
    <w:p>
      <w:pPr>
        <w:ind w:firstLine="480"/>
        <w:spacing w:line="560" w:lineRule="exact"/>
        <w:rPr>
          <w:rFonts w:ascii="仿宋" w:hAnsi="仿宋" w:eastAsia="仿宋" w:cs="仿宋"/>
          <w:b/>
          <w:bCs/>
          <w:color w:val="auto"/>
          <w:sz w:val="24"/>
          <w:highlight w:val="none"/>
        </w:rPr>
      </w:pPr>
      <w:r/>
      <w:bookmarkStart w:id="78" w:name="_Toc513029210"/>
      <w:r/>
      <w:bookmarkStart w:id="79" w:name="_Toc20823282"/>
      <w:r/>
      <w:bookmarkStart w:id="80" w:name="_Toc16938526"/>
      <w:r>
        <w:rPr>
          <w:rFonts w:hint="eastAsia" w:ascii="仿宋" w:hAnsi="仿宋" w:eastAsia="仿宋" w:cs="仿宋"/>
          <w:b/>
          <w:bCs/>
          <w:color w:val="auto"/>
          <w:sz w:val="24"/>
          <w:highlight w:val="none"/>
        </w:rPr>
        <w:t xml:space="preserve">5、招标文件构成</w:t>
      </w:r>
      <w:bookmarkEnd w:id="78"/>
      <w:r/>
      <w:bookmarkEnd w:id="79"/>
      <w:r/>
      <w:bookmarkEnd w:id="80"/>
      <w:r/>
      <w:r/>
    </w:p>
    <w:p>
      <w:pPr>
        <w:ind w:firstLine="480"/>
        <w:spacing w:line="5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5.1</w:t>
      </w:r>
      <w:r>
        <w:rPr>
          <w:rFonts w:hint="eastAsia" w:ascii="仿宋" w:hAnsi="仿宋" w:eastAsia="仿宋" w:cs="仿宋"/>
          <w:color w:val="auto"/>
          <w:sz w:val="24"/>
          <w:highlight w:val="none"/>
        </w:rPr>
        <w:t xml:space="preserve"> 招标文件由以下部分组成：</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第一章：投标邀请；</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第二章：投标人须知；</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第三章：资格审查及评标办法；</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第四章：采购需求；</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第五章：合同文本；</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第六章：投标文件格式。</w:t>
      </w:r>
      <w:r/>
    </w:p>
    <w:p>
      <w:pPr>
        <w:ind w:firstLine="480"/>
        <w:spacing w:line="5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请仔细检查招标文件是否齐全，如有缺漏请立即与采购代理机构联系解决。</w:t>
      </w:r>
      <w:r/>
    </w:p>
    <w:p>
      <w:pPr>
        <w:ind w:firstLine="480"/>
        <w:spacing w:line="5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5.2</w:t>
      </w:r>
      <w:r>
        <w:rPr>
          <w:rFonts w:hint="eastAsia" w:ascii="仿宋" w:hAnsi="仿宋" w:eastAsia="仿宋" w:cs="仿宋"/>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60" w:lineRule="exact"/>
        <w:rPr>
          <w:rFonts w:ascii="仿宋" w:hAnsi="仿宋" w:eastAsia="仿宋" w:cs="仿宋"/>
          <w:b/>
          <w:bCs/>
          <w:color w:val="auto"/>
          <w:sz w:val="24"/>
          <w:highlight w:val="none"/>
        </w:rPr>
      </w:pPr>
      <w:r/>
      <w:bookmarkStart w:id="81" w:name="_Toc20823283"/>
      <w:r/>
      <w:bookmarkStart w:id="82" w:name="_Toc462564070"/>
      <w:r/>
      <w:bookmarkStart w:id="83" w:name="_Toc16938527"/>
      <w:r/>
      <w:bookmarkStart w:id="84" w:name="_Toc513029211"/>
      <w:r>
        <w:rPr>
          <w:rFonts w:hint="eastAsia" w:ascii="仿宋" w:hAnsi="仿宋" w:eastAsia="仿宋" w:cs="仿宋"/>
          <w:b/>
          <w:bCs/>
          <w:color w:val="auto"/>
          <w:sz w:val="24"/>
          <w:highlight w:val="none"/>
        </w:rPr>
        <w:t xml:space="preserve">6、政府采购政策功能落实</w:t>
      </w:r>
      <w:r/>
    </w:p>
    <w:p>
      <w:pPr>
        <w:ind w:firstLine="482"/>
        <w:spacing w:line="480" w:lineRule="exact"/>
        <w:rPr>
          <w:rFonts w:ascii="仿宋" w:hAnsi="仿宋" w:eastAsia="仿宋" w:cs="仿宋"/>
          <w:b/>
          <w:bCs/>
          <w:color w:val="auto"/>
          <w:sz w:val="24"/>
          <w:highlight w:val="none"/>
          <w:u w:val="single"/>
        </w:rPr>
      </w:pPr>
      <w:r>
        <w:rPr>
          <w:rFonts w:hint="eastAsia" w:ascii="仿宋" w:hAnsi="仿宋" w:eastAsia="仿宋" w:cs="仿宋"/>
          <w:b/>
          <w:bCs/>
          <w:color w:val="auto"/>
          <w:sz w:val="24"/>
          <w:highlight w:val="none"/>
        </w:rPr>
        <w:t xml:space="preserve">本项目落实的政府采购政策对应序号为</w:t>
      </w:r>
      <w:r>
        <w:rPr>
          <w:rFonts w:hint="eastAsia" w:ascii="仿宋" w:hAnsi="仿宋" w:eastAsia="仿宋" w:cs="仿宋"/>
          <w:b/>
          <w:bCs/>
          <w:color w:val="auto"/>
          <w:sz w:val="24"/>
          <w:highlight w:val="none"/>
          <w:u w:val="single"/>
        </w:rPr>
        <w:t xml:space="preserve">6.1</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6.1中小企业政策</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本项目按第</w:t>
      </w:r>
      <w:r>
        <w:rPr>
          <w:rFonts w:hint="eastAsia" w:ascii="仿宋" w:hAnsi="仿宋" w:eastAsia="仿宋" w:cs="仿宋"/>
          <w:color w:val="auto"/>
          <w:sz w:val="24"/>
          <w:highlight w:val="none"/>
          <w:u w:val="single"/>
        </w:rPr>
        <w:t xml:space="preserve">（2）</w:t>
      </w:r>
      <w:r>
        <w:rPr>
          <w:rFonts w:hint="eastAsia" w:ascii="仿宋" w:hAnsi="仿宋" w:eastAsia="仿宋" w:cs="仿宋"/>
          <w:color w:val="auto"/>
          <w:sz w:val="24"/>
          <w:highlight w:val="none"/>
        </w:rPr>
        <w:t xml:space="preserve">种政策落实：</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（1）本项目专门面向中小企业（含监狱与戒毒企业、残疾人福利企业）采购。</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（2）对符合规定情形的小微企业报价给予</w:t>
      </w:r>
      <w:r>
        <w:rPr>
          <w:rFonts w:hint="eastAsia" w:ascii="仿宋" w:hAnsi="仿宋" w:eastAsia="仿宋" w:cs="仿宋"/>
          <w:color w:val="auto"/>
          <w:sz w:val="24"/>
          <w:highlight w:val="none"/>
          <w:u w:val="single"/>
        </w:rPr>
        <w:t xml:space="preserve">10%</w:t>
      </w:r>
      <w:r>
        <w:rPr>
          <w:rFonts w:hint="eastAsia" w:ascii="仿宋" w:hAnsi="仿宋" w:eastAsia="仿宋" w:cs="仿宋"/>
          <w:color w:val="auto"/>
          <w:sz w:val="24"/>
          <w:highlight w:val="none"/>
        </w:rPr>
        <w:t xml:space="preserve">扣除，用扣除后的价格参加评审。</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w:t>
      </w:r>
      <w:r>
        <w:rPr>
          <w:rFonts w:hint="eastAsia" w:ascii="仿宋" w:hAnsi="仿宋" w:eastAsia="仿宋" w:cs="仿宋"/>
          <w:color w:val="auto"/>
          <w:sz w:val="24"/>
          <w:highlight w:val="none"/>
          <w:u w:val="single"/>
        </w:rPr>
        <w:t xml:space="preserve">5</w:t>
      </w:r>
      <w:r>
        <w:rPr>
          <w:rFonts w:hint="eastAsia" w:ascii="仿宋" w:hAnsi="仿宋" w:eastAsia="仿宋" w:cs="仿宋"/>
          <w:color w:val="auto"/>
          <w:sz w:val="24"/>
          <w:highlight w:val="none"/>
        </w:rPr>
        <w:t xml:space="preserve">%（工程项目为</w:t>
      </w:r>
      <w:r>
        <w:rPr>
          <w:rFonts w:hint="eastAsia" w:ascii="仿宋" w:hAnsi="仿宋" w:eastAsia="仿宋" w:cs="仿宋"/>
          <w:color w:val="auto"/>
          <w:sz w:val="24"/>
          <w:highlight w:val="none"/>
          <w:u w:val="single"/>
        </w:rPr>
        <w:t xml:space="preserve">2</w:t>
      </w:r>
      <w:r>
        <w:rPr>
          <w:rFonts w:hint="eastAsia" w:ascii="仿宋" w:hAnsi="仿宋" w:eastAsia="仿宋"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6.2节能产品、环境标志产品</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6.2.2采购人拟采购的产品属于优先采购的节能、环境标志产品品目清单范围的，按以下条件优先采购：</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采用综合评分法的项目，对提供有效节能、环境标志产品认证证书的投标人加分。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采用最低评标价法的项目，同等条件下优先推荐提供有效节能、环境标志产品认证证书多的投标人为中标人。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6.3政府采购需求标准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6.3.1商品包装、快递包装政府采购需求标准（试行）</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6.3.2绿色数据中心政府采购需求标准（试行）</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6.3.3绿色建材政府采购需求标准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仿宋" w:hAnsi="仿宋" w:eastAsia="仿宋" w:cs="仿宋"/>
          <w:color w:val="auto"/>
          <w:highlight w:val="none"/>
        </w:rPr>
      </w:pPr>
      <w:r>
        <w:rPr>
          <w:rFonts w:hint="eastAsia" w:ascii="仿宋" w:hAnsi="仿宋" w:eastAsia="仿宋" w:cs="仿宋"/>
          <w:color w:val="auto"/>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7、招标文件的澄清</w:t>
      </w:r>
      <w:bookmarkEnd w:id="81"/>
      <w:r/>
      <w:bookmarkEnd w:id="82"/>
      <w:r/>
      <w:bookmarkEnd w:id="83"/>
      <w:r/>
      <w:bookmarkEnd w:id="84"/>
      <w:r>
        <w:rPr>
          <w:rFonts w:hint="eastAsia" w:ascii="仿宋" w:hAnsi="仿宋" w:eastAsia="仿宋" w:cs="仿宋"/>
          <w:b/>
          <w:bCs/>
          <w:color w:val="auto"/>
          <w:sz w:val="24"/>
          <w:highlight w:val="none"/>
        </w:rPr>
        <w:t xml:space="preserve">或修改</w:t>
      </w:r>
      <w:r/>
    </w:p>
    <w:p>
      <w:pPr>
        <w:ind w:firstLine="480"/>
        <w:spacing w:line="480" w:lineRule="exact"/>
        <w:rPr>
          <w:rFonts w:ascii="仿宋" w:hAnsi="仿宋" w:eastAsia="仿宋" w:cs="仿宋"/>
          <w:color w:val="auto"/>
          <w:sz w:val="24"/>
          <w:highlight w:val="none"/>
        </w:rPr>
      </w:pPr>
      <w:r/>
      <w:bookmarkStart w:id="85" w:name="_Toc16938528"/>
      <w:r/>
      <w:bookmarkStart w:id="86" w:name="_Toc513029212"/>
      <w:r/>
      <w:bookmarkStart w:id="87" w:name="_Toc20823284"/>
      <w:r/>
      <w:bookmarkStart w:id="88" w:name="_Toc462564071"/>
      <w:r>
        <w:rPr>
          <w:rFonts w:hint="eastAsia" w:ascii="仿宋" w:hAnsi="仿宋" w:eastAsia="仿宋"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7.3投标人应及时登录“苏采云”系统获取澄清答疑文件（修改后的招标文件），如投标人未能及时下载澄清答疑文件，造成的相关责任由投标人承担。</w:t>
      </w:r>
      <w:bookmarkEnd w:id="85"/>
      <w:r/>
      <w:bookmarkEnd w:id="86"/>
      <w:r/>
      <w:bookmarkEnd w:id="87"/>
      <w:r/>
      <w:bookmarkEnd w:id="88"/>
      <w:r/>
      <w:r/>
    </w:p>
    <w:p>
      <w:pPr>
        <w:ind w:firstLine="499"/>
        <w:spacing w:line="560" w:lineRule="exact"/>
        <w:rPr>
          <w:rFonts w:ascii="仿宋" w:hAnsi="仿宋" w:eastAsia="仿宋" w:cs="仿宋"/>
          <w:b/>
          <w:bCs/>
          <w:color w:val="auto"/>
          <w:sz w:val="28"/>
          <w:szCs w:val="28"/>
          <w:highlight w:val="none"/>
        </w:rPr>
        <w:outlineLvl w:val="1"/>
      </w:pPr>
      <w:r/>
      <w:bookmarkStart w:id="89" w:name="_Toc120614216"/>
      <w:r/>
      <w:bookmarkStart w:id="90" w:name="_Toc462564072"/>
      <w:r/>
      <w:bookmarkStart w:id="91" w:name="_Toc513029213"/>
      <w:r/>
      <w:bookmarkStart w:id="92" w:name="_Toc20823285"/>
      <w:r/>
      <w:bookmarkStart w:id="93" w:name="_Toc16938529"/>
      <w:r>
        <w:rPr>
          <w:rFonts w:hint="eastAsia" w:ascii="仿宋" w:hAnsi="仿宋" w:eastAsia="仿宋" w:cs="仿宋"/>
          <w:b/>
          <w:bCs/>
          <w:color w:val="auto"/>
          <w:sz w:val="28"/>
          <w:szCs w:val="28"/>
          <w:highlight w:val="none"/>
        </w:rPr>
        <w:t xml:space="preserve">三、投标文件的编制</w:t>
      </w:r>
      <w:bookmarkEnd w:id="89"/>
      <w:r/>
      <w:bookmarkEnd w:id="90"/>
      <w:r/>
      <w:bookmarkEnd w:id="91"/>
      <w:r/>
      <w:bookmarkEnd w:id="92"/>
      <w:r/>
      <w:bookmarkEnd w:id="93"/>
      <w:r/>
      <w:r/>
    </w:p>
    <w:p>
      <w:pPr>
        <w:ind w:firstLine="480"/>
        <w:spacing w:line="560" w:lineRule="exact"/>
        <w:rPr>
          <w:rFonts w:ascii="仿宋" w:hAnsi="仿宋" w:eastAsia="仿宋" w:cs="仿宋"/>
          <w:b/>
          <w:bCs/>
          <w:color w:val="auto"/>
          <w:sz w:val="24"/>
          <w:highlight w:val="none"/>
        </w:rPr>
      </w:pPr>
      <w:r/>
      <w:bookmarkStart w:id="94" w:name="_Hlt26954739"/>
      <w:r/>
      <w:bookmarkEnd w:id="94"/>
      <w:r/>
      <w:bookmarkStart w:id="95" w:name="_Hlt26954852"/>
      <w:r/>
      <w:bookmarkEnd w:id="95"/>
      <w:r/>
      <w:bookmarkStart w:id="96" w:name="_Toc513029224"/>
      <w:r/>
      <w:bookmarkStart w:id="97" w:name="_Toc120614217"/>
      <w:r/>
      <w:bookmarkStart w:id="98" w:name="_Toc20823296"/>
      <w:r/>
      <w:bookmarkStart w:id="99" w:name="_Toc16938540"/>
      <w:r>
        <w:rPr>
          <w:rFonts w:hint="eastAsia" w:ascii="仿宋" w:hAnsi="仿宋" w:eastAsia="仿宋" w:cs="仿宋"/>
          <w:b/>
          <w:bCs/>
          <w:color w:val="auto"/>
          <w:sz w:val="24"/>
          <w:highlight w:val="none"/>
        </w:rPr>
        <w:t xml:space="preserve">8、投标文件的编制要求</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8.3本项目通过“苏采云”系统进行电子投标，投标人使用政府采购客户端工具制作并通过“苏采云”系统提交投标文件。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8.4投标单位</w:t>
      </w:r>
      <w:r>
        <w:rPr>
          <w:rFonts w:hint="eastAsia" w:ascii="仿宋" w:hAnsi="仿宋" w:eastAsia="仿宋" w:cs="仿宋"/>
          <w:color w:val="auto"/>
          <w:sz w:val="24"/>
          <w:highlight w:val="none"/>
        </w:rPr>
        <w:t xml:space="preserve">中标后按相关要求免费提供与电子投标文件一致的纸质版投标文件4份。</w:t>
      </w:r>
      <w:r/>
    </w:p>
    <w:p>
      <w:pPr>
        <w:ind w:firstLine="480"/>
        <w:spacing w:line="5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9、投标文件构成</w:t>
      </w:r>
      <w:r/>
    </w:p>
    <w:p>
      <w:pPr>
        <w:ind w:firstLine="480"/>
        <w:spacing w:line="480" w:lineRule="exact"/>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9.1投标文件包括资格证明文件、开标一览表、响应及偏离表、投标函、其他证明文件等部分。</w:t>
      </w:r>
      <w:r>
        <w:rPr>
          <w:rFonts w:hint="eastAsia" w:ascii="仿宋" w:hAnsi="仿宋" w:eastAsia="仿宋" w:cs="仿宋"/>
          <w:bCs/>
          <w:color w:val="auto"/>
          <w:sz w:val="24"/>
          <w:highlight w:val="none"/>
        </w:rPr>
        <w:t xml:space="preserve">投标文件构成资料为非中文时应提供中文译版。</w:t>
      </w:r>
      <w:bookmarkStart w:id="100" w:name="EBc50e2bb832bb43068403b10c1cce6141"/>
      <w:r/>
      <w:r/>
    </w:p>
    <w:p>
      <w:pPr>
        <w:ind w:firstLine="482"/>
        <w:spacing w:line="480" w:lineRule="exact"/>
        <w:rPr>
          <w:rFonts w:ascii="仿宋" w:hAnsi="仿宋" w:eastAsia="仿宋" w:cs="仿宋"/>
          <w:bCs/>
          <w:color w:val="auto"/>
          <w:sz w:val="24"/>
          <w:highlight w:val="none"/>
        </w:rPr>
      </w:pPr>
      <w:r>
        <w:rPr>
          <w:rFonts w:hint="eastAsia" w:ascii="仿宋" w:hAnsi="仿宋" w:eastAsia="仿宋"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0"/>
        <w:spacing w:line="5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10、投标报价</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10.1本项目不接受备选的投标方案或有选择的报价，只允许有一个报价。</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10.2报价注意事项：本项目投标以费率报价。投标人的报价应包括为完成本项目所发生的一切费用和税费，采购人将不再支付报价以外的任何费用。</w:t>
      </w:r>
      <w:r/>
    </w:p>
    <w:p>
      <w:pPr>
        <w:ind w:firstLine="480"/>
        <w:spacing w:line="5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11、投标保证金</w:t>
      </w:r>
      <w:bookmarkStart w:id="101" w:name="EB183a0bf075204c54a4ff090f1aecaaa7"/>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本项目不收取投标保证金。</w:t>
      </w:r>
      <w:bookmarkEnd w:id="101"/>
      <w:r/>
      <w:r/>
    </w:p>
    <w:p>
      <w:pPr>
        <w:ind w:firstLine="480"/>
        <w:spacing w:line="5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12、投标有效期</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四、投标文件的提交</w:t>
      </w:r>
      <w:bookmarkEnd w:id="96"/>
      <w:r/>
      <w:bookmarkEnd w:id="97"/>
      <w:r/>
      <w:bookmarkEnd w:id="98"/>
      <w:r/>
      <w:bookmarkEnd w:id="99"/>
      <w:r/>
      <w:r/>
    </w:p>
    <w:p>
      <w:pPr>
        <w:ind w:firstLine="482"/>
        <w:spacing w:line="480" w:lineRule="exact"/>
        <w:rPr>
          <w:rFonts w:ascii="仿宋" w:hAnsi="仿宋" w:eastAsia="仿宋" w:cs="仿宋"/>
          <w:b/>
          <w:color w:val="auto"/>
          <w:sz w:val="24"/>
          <w:highlight w:val="none"/>
        </w:rPr>
      </w:pPr>
      <w:r/>
      <w:bookmarkStart w:id="102" w:name="_Toc513029229"/>
      <w:r/>
      <w:bookmarkStart w:id="103" w:name="_Toc16938545"/>
      <w:r/>
      <w:bookmarkStart w:id="104" w:name="_Toc120614218"/>
      <w:r/>
      <w:bookmarkStart w:id="105" w:name="_Toc20823301"/>
      <w:r>
        <w:rPr>
          <w:rFonts w:hint="eastAsia" w:ascii="仿宋" w:hAnsi="仿宋" w:eastAsia="仿宋" w:cs="仿宋"/>
          <w:b/>
          <w:color w:val="auto"/>
          <w:sz w:val="24"/>
          <w:highlight w:val="none"/>
        </w:rPr>
        <w:t xml:space="preserve">13、投标文件的提交</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14、投标文件被拒绝接收的情形</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在招标文件规定的投标截止时间后上传的投标文件或对投标报价或其他实质性内容修正的文件。</w:t>
      </w:r>
      <w:bookmarkEnd w:id="102"/>
      <w:r/>
      <w:bookmarkEnd w:id="103"/>
      <w:r/>
      <w:bookmarkEnd w:id="104"/>
      <w:r/>
      <w:bookmarkEnd w:id="105"/>
      <w:r/>
      <w:r/>
    </w:p>
    <w:p>
      <w:pPr>
        <w:ind w:firstLine="499"/>
        <w:spacing w:line="560" w:lineRule="exact"/>
        <w:rPr>
          <w:rFonts w:ascii="仿宋" w:hAnsi="仿宋" w:eastAsia="仿宋" w:cs="仿宋"/>
          <w:b/>
          <w:bCs/>
          <w:color w:val="auto"/>
          <w:sz w:val="28"/>
          <w:szCs w:val="28"/>
          <w:highlight w:val="none"/>
        </w:rPr>
        <w:outlineLvl w:val="1"/>
      </w:pPr>
      <w:r/>
      <w:bookmarkStart w:id="106" w:name="_Toc81575160"/>
      <w:r/>
      <w:bookmarkStart w:id="107" w:name="_Toc959"/>
      <w:r/>
      <w:bookmarkStart w:id="108" w:name="_Toc20026"/>
      <w:r/>
      <w:bookmarkStart w:id="109" w:name="_Toc81575197"/>
      <w:r/>
      <w:bookmarkStart w:id="110" w:name="_Toc5696"/>
      <w:r/>
      <w:bookmarkStart w:id="111" w:name="_Toc20293"/>
      <w:r/>
      <w:bookmarkStart w:id="112" w:name="_Toc10270"/>
      <w:r/>
      <w:bookmarkStart w:id="113" w:name="_Toc2621"/>
      <w:r/>
      <w:bookmarkStart w:id="114" w:name="_Hlt16619350"/>
      <w:r/>
      <w:bookmarkStart w:id="115" w:name="_Toc20823346"/>
      <w:r/>
      <w:bookmarkStart w:id="116" w:name="_Toc120614244"/>
      <w:r/>
      <w:bookmarkStart w:id="117" w:name="_Toc16938590"/>
      <w:r/>
      <w:bookmarkStart w:id="118" w:name="_Toc462564139"/>
      <w:r/>
      <w:bookmarkStart w:id="119" w:name="_Toc479757211"/>
      <w:r>
        <w:rPr>
          <w:rFonts w:hint="eastAsia" w:ascii="仿宋" w:hAnsi="仿宋" w:eastAsia="仿宋" w:cs="仿宋"/>
          <w:b/>
          <w:bCs/>
          <w:color w:val="auto"/>
          <w:sz w:val="28"/>
          <w:szCs w:val="28"/>
          <w:highlight w:val="none"/>
        </w:rPr>
        <w:t xml:space="preserve">五、开标、评标程序</w:t>
      </w:r>
      <w:bookmarkEnd w:id="106"/>
      <w:r/>
      <w:bookmarkEnd w:id="107"/>
      <w:r/>
      <w:bookmarkEnd w:id="108"/>
      <w:r/>
      <w:bookmarkEnd w:id="109"/>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15、开标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15.4投标人如果对开标过程和开标记录有疑义，应当根据《操作手册》规定提出。</w:t>
      </w:r>
      <w:r>
        <w:rPr>
          <w:rFonts w:hint="eastAsia" w:ascii="仿宋" w:hAnsi="仿宋" w:eastAsia="仿宋" w:cs="仿宋"/>
          <w:b/>
          <w:bCs/>
          <w:color w:val="auto"/>
          <w:sz w:val="24"/>
          <w:highlight w:val="none"/>
        </w:rPr>
        <w:t xml:space="preserve">如“苏采云”系统中《开标记录表》宣布后5分钟内未提出的，视同认可开标结果。</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15.5投标人在开、评标全过程中应保持通讯畅通，及时登录“苏采云”系统查阅、答复相关信息。</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16、评标委员会</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采购人应根据本项目的特点依法组建评标委员会，</w:t>
      </w:r>
      <w:r>
        <w:rPr>
          <w:rFonts w:hint="eastAsia" w:ascii="仿宋" w:hAnsi="仿宋" w:eastAsia="仿宋" w:cs="仿宋"/>
          <w:b/>
          <w:bCs/>
          <w:color w:val="auto"/>
          <w:sz w:val="24"/>
          <w:highlight w:val="none"/>
        </w:rPr>
        <w:t xml:space="preserve">评标委员会由采购人代表和有关技术、经济等方面的专家组成，且人员构成符合政府采购有关规定。</w:t>
      </w:r>
      <w:r>
        <w:rPr>
          <w:rFonts w:hint="eastAsia" w:ascii="仿宋" w:hAnsi="仿宋" w:eastAsia="仿宋" w:cs="仿宋"/>
          <w:color w:val="auto"/>
          <w:sz w:val="24"/>
          <w:highlight w:val="none"/>
        </w:rPr>
        <w:t xml:space="preserve">评标委员会负责具体评标事务，按公平、公正、客观、择优的原则独立履行相关职责。</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17、评标程序</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17.1资格审查</w:t>
      </w:r>
      <w:bookmarkStart w:id="120" w:name="EBa9c0a2c9e523494487594c65b2a92370"/>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开标结束后，采购人依法根据招标文件的规定对投标人的资格证明文件等进行审查。</w:t>
      </w:r>
      <w:bookmarkEnd w:id="120"/>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17.2符合性检查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21" w:name="EB1499356fad43416eb16398733accabf7"/>
      <w:r>
        <w:rPr>
          <w:rFonts w:hint="eastAsia" w:ascii="仿宋" w:hAnsi="仿宋" w:eastAsia="仿宋" w:cs="仿宋"/>
          <w:color w:val="auto"/>
          <w:sz w:val="24"/>
          <w:highlight w:val="none"/>
        </w:rPr>
        <w:t xml:space="preserve">所谓重大偏离是指投标人投标文件中所述设备质量、技术规格、数量、交货期、服务等明显不能满足招标文件要求。</w:t>
      </w:r>
      <w:bookmarkEnd w:id="121"/>
      <w:r>
        <w:rPr>
          <w:rFonts w:hint="eastAsia" w:ascii="仿宋" w:hAnsi="仿宋" w:eastAsia="仿宋" w:cs="仿宋"/>
          <w:color w:val="auto"/>
          <w:sz w:val="24"/>
          <w:highlight w:val="none"/>
        </w:rPr>
        <w:t xml:space="preserve">重大偏离的认定需经过评标委员会以少数服从多数的原则作出结论。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17.5相同品牌产品投标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17.6有关问题的澄清</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17.6.2投标文件报价出现前后不一致的，除招标文件另有规定外，按照下列规定修正：</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②大写金额和小写金额不一致的，以大写金额为准；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③单价金额小数点或者百分比有明显错位的，以开标一览表的总价为准，并修改单价；</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④总价金额与按单价汇总金额不一致的，以单价金额计算结果为准。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评标过程中，不得去掉报价中的最高报价和最低报价。</w:t>
      </w:r>
      <w:r/>
    </w:p>
    <w:p>
      <w:pPr>
        <w:ind w:firstLine="480"/>
        <w:spacing w:line="48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17.7异常低价投标审查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17.7.1本项目落实《关于推动解决政府采购异常低价问题的通知》（财库〔2026〕2号）文件规定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并</w:t>
      </w:r>
      <w:r>
        <w:rPr>
          <w:rFonts w:hint="eastAsia" w:ascii="仿宋" w:hAnsi="仿宋" w:eastAsia="仿宋" w:cs="仿宋"/>
          <w:color w:val="auto"/>
          <w:sz w:val="24"/>
          <w:highlight w:val="none"/>
        </w:rPr>
        <w:t xml:space="preserve">结合</w:t>
      </w:r>
      <w:r>
        <w:rPr>
          <w:rFonts w:hint="eastAsia" w:ascii="仿宋" w:hAnsi="仿宋" w:eastAsia="仿宋" w:cs="仿宋"/>
          <w:color w:val="auto"/>
          <w:sz w:val="24"/>
          <w:highlight w:val="none"/>
          <w:lang w:val="en-US" w:eastAsia="zh-CN"/>
        </w:rPr>
        <w:t xml:space="preserve">本</w:t>
      </w:r>
      <w:r>
        <w:rPr>
          <w:rFonts w:hint="eastAsia" w:ascii="仿宋" w:hAnsi="仿宋" w:eastAsia="仿宋" w:cs="仿宋"/>
          <w:color w:val="auto"/>
          <w:sz w:val="24"/>
          <w:highlight w:val="none"/>
        </w:rPr>
        <w:t xml:space="preserve">项目实际情况</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评标过程中出现下列情形之一的，评标委员会应当启动异常低价投标审查程序：</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（1）投标（响应）报价低于全部通过符合性审查供应商投标（响应）报价平均值65%的，即投标（响应）报价&lt;全部通过符合性审查供应商投标（响应）报价平均值×65%；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（2）投标（响应）报价低于通过符合性审查的次低报价供应商投标（响应）报价65%的，即投标（响应）报价&lt;通过符合性审查的次低报价供应商投标（响应）报价×65%；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（3）投标（响应）报价低于采购项目最高限价65%的，即投标（响应）报价&lt;采购项目最高限价×65%；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 分钟。其中，属于第</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项情形，供应商已随投标（响应）文件一并提交相关书面说明及必要的证明材料的，在评审现场可不再重复提交。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 网等渠道查询相关信息的，应当严格遵守评审工作纪律，不得实施影响评审公正的行为。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17.8比较</w:t>
      </w:r>
      <w:r/>
    </w:p>
    <w:p>
      <w:pPr>
        <w:ind w:firstLine="480"/>
        <w:spacing w:line="4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w:t>
      </w:r>
      <w:r>
        <w:rPr>
          <w:rFonts w:hint="eastAsia" w:ascii="仿宋" w:hAnsi="仿宋" w:eastAsia="仿宋" w:cs="仿宋"/>
          <w:color w:val="auto"/>
          <w:sz w:val="24"/>
          <w:highlight w:val="none"/>
          <w:lang w:val="en-US" w:eastAsia="zh-CN"/>
        </w:rPr>
        <w:t xml:space="preserve">9</w:t>
      </w:r>
      <w:r>
        <w:rPr>
          <w:rFonts w:hint="eastAsia" w:ascii="仿宋" w:hAnsi="仿宋" w:eastAsia="仿宋" w:cs="仿宋"/>
          <w:color w:val="auto"/>
          <w:sz w:val="24"/>
          <w:highlight w:val="none"/>
        </w:rPr>
        <w:t xml:space="preserve">推荐中标候选人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评标委员会按照招标文件中规定的评标方法和标准推荐中标候选人。</w:t>
      </w:r>
      <w:r/>
    </w:p>
    <w:p>
      <w:pPr>
        <w:ind w:firstLine="499"/>
        <w:spacing w:line="560" w:lineRule="exact"/>
        <w:rPr>
          <w:rFonts w:ascii="仿宋" w:hAnsi="仿宋" w:eastAsia="仿宋" w:cs="仿宋"/>
          <w:b/>
          <w:bCs/>
          <w:color w:val="auto"/>
          <w:sz w:val="28"/>
          <w:szCs w:val="28"/>
          <w:highlight w:val="none"/>
        </w:rPr>
        <w:outlineLvl w:val="1"/>
      </w:pPr>
      <w:r/>
      <w:bookmarkStart w:id="122" w:name="_Toc8712"/>
      <w:r/>
      <w:bookmarkStart w:id="123" w:name="_Toc81575159"/>
      <w:r/>
      <w:bookmarkStart w:id="124" w:name="_Toc8841"/>
      <w:r/>
      <w:bookmarkStart w:id="125" w:name="_Toc81575196"/>
      <w:r>
        <w:rPr>
          <w:rFonts w:hint="eastAsia" w:ascii="仿宋" w:hAnsi="仿宋" w:eastAsia="仿宋" w:cs="仿宋"/>
          <w:b/>
          <w:bCs/>
          <w:color w:val="auto"/>
          <w:sz w:val="28"/>
          <w:szCs w:val="28"/>
          <w:highlight w:val="none"/>
        </w:rPr>
        <w:t xml:space="preserve">六、无效投标、废标、串通投标</w:t>
      </w:r>
      <w:bookmarkEnd w:id="122"/>
      <w:r/>
      <w:bookmarkEnd w:id="123"/>
      <w:r/>
      <w:bookmarkEnd w:id="124"/>
      <w:r/>
      <w:bookmarkEnd w:id="125"/>
      <w:r>
        <w:rPr>
          <w:rFonts w:hint="eastAsia" w:ascii="仿宋" w:hAnsi="仿宋" w:eastAsia="仿宋" w:cs="仿宋"/>
          <w:b/>
          <w:bCs/>
          <w:color w:val="auto"/>
          <w:sz w:val="28"/>
          <w:szCs w:val="28"/>
          <w:highlight w:val="none"/>
        </w:rPr>
        <w:t xml:space="preserve">及取消中标候选人资格情形</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18、无效投标情形</w:t>
      </w:r>
      <w:r/>
    </w:p>
    <w:p>
      <w:pPr>
        <w:ind w:firstLine="480"/>
        <w:spacing w:line="480" w:lineRule="exact"/>
        <w:rPr>
          <w:rFonts w:ascii="仿宋" w:hAnsi="仿宋" w:eastAsia="仿宋" w:cs="仿宋"/>
          <w:strike/>
          <w:color w:val="auto"/>
          <w:sz w:val="24"/>
          <w:highlight w:val="none"/>
        </w:rPr>
      </w:pPr>
      <w:r>
        <w:rPr>
          <w:rFonts w:hint="eastAsia" w:ascii="仿宋" w:hAnsi="仿宋" w:eastAsia="仿宋" w:cs="仿宋"/>
          <w:color w:val="auto"/>
          <w:sz w:val="24"/>
          <w:highlight w:val="none"/>
        </w:rPr>
        <w:t xml:space="preserve">18.1投标人同一采购包提交两个（含两个）以上不同的投标报价的。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18.2投标人不符合招标文件规定资格要求的或未按规定提交资质证件的。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18.3投标人的报价超过了采购预算或最高限价的。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18.4投标文件未通过符合性审查的。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18.5</w:t>
      </w:r>
      <w:r>
        <w:rPr>
          <w:rFonts w:hint="eastAsia" w:ascii="仿宋" w:hAnsi="仿宋" w:eastAsia="仿宋" w:cs="仿宋"/>
          <w:b/>
          <w:bCs/>
          <w:color w:val="auto"/>
          <w:sz w:val="24"/>
          <w:highlight w:val="none"/>
        </w:rPr>
        <w:t xml:space="preserve">投标文件出现重大偏离，不符合招标文件中规定的实质性要求的（★部分为实质性要求）</w:t>
      </w:r>
      <w:r>
        <w:rPr>
          <w:rFonts w:hint="eastAsia" w:ascii="仿宋" w:hAnsi="仿宋" w:eastAsia="仿宋" w:cs="仿宋"/>
          <w:color w:val="auto"/>
          <w:sz w:val="24"/>
          <w:highlight w:val="none"/>
        </w:rPr>
        <w:t xml:space="preserve">。</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18.6评标委员会启动异常低价投标审查后，投标人不提供书面说明、证明材料，或者评标委员会认为投标人提供的书面说明、证明材料不能证明其报价合理性的。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18.7投标文件未按照招标文件要求加盖CA电子公章的。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18.8投标人有本招标文件规定的恶意串通投标情形的。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18.9投标文件含有采购人不能接受的附加条件的。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18.10其他法律、法规及本招标文件规定的属无效投标的情形。</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19、废标情形</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19.1符合专业条件的投标人或者对招标文件作实质响应的投标人不足三家的。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19.2出现影响采购公正的违法、违规行为的。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19.3因重大变故，采购任务取消的。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19.4评标委员会认定招标文件存在歧义、重大缺陷导致评审工作无法进行的。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19.5在“苏采云”系统规定时间内成功解密电子投标文件的投标人不足3家的。</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20、投标人不足三家情形处理</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21、串通投标情形</w:t>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有下列情形之一的，属于恶意串通投标：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21.3供应商接受采购人或采购代理机构授意撤换、修改投标文件；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21.4供应商之间协商投标报价、技术方案等投标文件实质性内容；</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21.5属于同一集团、协会、商会等组织成员的供应商按照该组织要求协同投标；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21.6供应商之间事先约定由某一特定供应商中标、成交；</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21.7供应商之间商定部分供应商放弃投标或者放弃中标、成交；</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有下列情形之一的，视为投标人串通投标，其投标无效：</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21.9不同投标人的投标文件由同一单位或者个人编制；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21.10不同投标人委托同一单位或者个人办理投标事宜；</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21.11不同投标人的投标文件载明的项目管理成员或者联系人员为同一人；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21.12不同投标人的投标文件异常一致或者投标报价呈规律性差异；</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21.13不同投标人的投标文件相互混装；</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21.14不同投标人的投标保证金从同一单位或者个人的账户转出。</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22、</w:t>
      </w:r>
      <w:bookmarkStart w:id="126" w:name="OLE_LINK4"/>
      <w:r>
        <w:rPr>
          <w:rFonts w:hint="eastAsia" w:ascii="仿宋" w:hAnsi="仿宋" w:eastAsia="仿宋" w:cs="仿宋"/>
          <w:b/>
          <w:color w:val="auto"/>
          <w:sz w:val="24"/>
          <w:highlight w:val="none"/>
        </w:rPr>
        <w:t xml:space="preserve">取消中标候选人资格情形</w:t>
      </w:r>
      <w:bookmarkEnd w:id="126"/>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22.1提供虚假材料谋取中标的；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22.2采取不正当手段诋毁、排挤其他投标人的；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22.3与采购人、其他投标人或者采购代理机构恶意串通的；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22.4向采购人、采购代理机构行贿或者提供其他不正当利益的；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22.5未在规定时间内与采购人签订采购合同的；</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22.6法律、法规规定的其他情况。</w:t>
      </w:r>
      <w:bookmarkStart w:id="127" w:name="_Toc2391"/>
      <w:r/>
      <w:bookmarkStart w:id="128" w:name="_Toc81575198"/>
      <w:r/>
      <w:bookmarkStart w:id="129" w:name="_Toc6494"/>
      <w:r/>
      <w:bookmarkStart w:id="130" w:name="_Toc81575161"/>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七、中标及合同签订</w:t>
      </w:r>
      <w:bookmarkEnd w:id="127"/>
      <w:r/>
      <w:bookmarkEnd w:id="128"/>
      <w:r/>
      <w:bookmarkEnd w:id="129"/>
      <w:r/>
      <w:bookmarkEnd w:id="130"/>
      <w:r/>
      <w:r/>
    </w:p>
    <w:p>
      <w:pPr>
        <w:ind w:firstLine="482"/>
        <w:spacing w:line="5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23、确定中标人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23.3采购人确定正被列为失信被执行人的投标人为中标人的，中标结果无效。</w:t>
      </w:r>
      <w:r/>
    </w:p>
    <w:p>
      <w:pPr>
        <w:ind w:firstLine="482"/>
        <w:spacing w:line="5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24、中标通知书</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24.3采用综合评分法评审的，未中标人可于中标结果公告期限届满之日起通过“苏采云”系统查看</w:t>
      </w:r>
      <w:bookmarkStart w:id="131" w:name="OLE_LINK5"/>
      <w:r>
        <w:rPr>
          <w:rFonts w:hint="eastAsia" w:ascii="仿宋" w:hAnsi="仿宋" w:eastAsia="仿宋" w:cs="仿宋"/>
          <w:color w:val="auto"/>
          <w:sz w:val="24"/>
          <w:highlight w:val="none"/>
        </w:rPr>
        <w:t xml:space="preserve">自己的评审得分及排序情况。</w:t>
      </w:r>
      <w:bookmarkEnd w:id="131"/>
      <w:r/>
      <w:r/>
    </w:p>
    <w:p>
      <w:pPr>
        <w:ind w:firstLine="482"/>
        <w:spacing w:line="5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25、授予合同</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25.2采购人在自合同签订之日起2个工作日内，将合同在指定的媒体上公告。</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26、履约保证金</w:t>
      </w:r>
      <w:r/>
    </w:p>
    <w:p>
      <w:pPr>
        <w:ind w:firstLine="480"/>
        <w:spacing w:line="48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按照以下第</w:t>
      </w:r>
      <w:r>
        <w:rPr>
          <w:rFonts w:hint="eastAsia" w:ascii="仿宋" w:hAnsi="仿宋" w:eastAsia="仿宋" w:cs="仿宋"/>
          <w:color w:val="auto"/>
          <w:sz w:val="24"/>
          <w:highlight w:val="none"/>
          <w:u w:val="single"/>
          <w:lang w:val="zh-CN"/>
        </w:rPr>
        <w:t xml:space="preserve">（</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u w:val="single"/>
          <w:lang w:val="zh-CN"/>
        </w:rPr>
        <w:t xml:space="preserve">）</w:t>
      </w:r>
      <w:r>
        <w:rPr>
          <w:rFonts w:hint="eastAsia" w:ascii="仿宋" w:hAnsi="仿宋" w:eastAsia="仿宋" w:cs="仿宋"/>
          <w:color w:val="auto"/>
          <w:sz w:val="24"/>
          <w:highlight w:val="none"/>
          <w:lang w:val="zh-CN"/>
        </w:rPr>
        <w:t xml:space="preserve">方式确定履约保证</w:t>
      </w:r>
      <w:r>
        <w:rPr>
          <w:rFonts w:hint="eastAsia" w:ascii="仿宋" w:hAnsi="仿宋" w:eastAsia="仿宋" w:cs="仿宋"/>
          <w:color w:val="auto"/>
          <w:sz w:val="24"/>
          <w:highlight w:val="none"/>
        </w:rPr>
        <w:t xml:space="preserve">金</w:t>
      </w:r>
      <w:r>
        <w:rPr>
          <w:rFonts w:hint="eastAsia" w:ascii="仿宋" w:hAnsi="仿宋" w:eastAsia="仿宋" w:cs="仿宋"/>
          <w:color w:val="auto"/>
          <w:sz w:val="24"/>
          <w:highlight w:val="none"/>
          <w:lang w:val="zh-CN"/>
        </w:rPr>
        <w:t xml:space="preserve">收取方式。</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（1）本项目不收取履约保证金。</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（2）本项目收取履约保证金。</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26.1履约保证金提交形式</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26.2履约保证金提交金额</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按采购合同总价的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%提交。</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color w:val="auto"/>
          <w:sz w:val="24"/>
          <w:highlight w:val="none"/>
          <w:u w:val="single"/>
        </w:rPr>
        <w:t xml:space="preserve">/</w:t>
      </w:r>
      <w:r>
        <w:rPr>
          <w:rFonts w:hint="eastAsia" w:ascii="仿宋" w:hAnsi="仿宋" w:eastAsia="仿宋" w:cs="仿宋"/>
          <w:color w:val="auto"/>
          <w:sz w:val="24"/>
          <w:highlight w:val="none"/>
        </w:rPr>
        <w:t xml:space="preserve">%（履约保证金原提交金额的6折）提交。办理流程、偿付等内容见江苏省政府采购网“保险保函”模块。</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26.3履约保证金退还方式</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26.4履约保证金退还条件</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具有验收合格相关证明材料。</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26.5履约保证金退还时间</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采购人收到投标人退付申请后5个工作日内退还。</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26.6履约保证金不予退还情形</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26.7逾期退还履约保证金违约责任</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仿宋" w:hAnsi="仿宋" w:eastAsia="仿宋" w:cs="仿宋"/>
          <w:b/>
          <w:bCs/>
          <w:color w:val="auto"/>
          <w:sz w:val="24"/>
          <w:szCs w:val="24"/>
          <w:highlight w:val="none"/>
        </w:rPr>
      </w:pPr>
      <w:r>
        <w:rPr>
          <w:rFonts w:hint="eastAsia" w:ascii="仿宋" w:hAnsi="仿宋" w:eastAsia="仿宋" w:cs="仿宋"/>
          <w:b/>
          <w:color w:val="auto"/>
          <w:sz w:val="24"/>
          <w:highlight w:val="none"/>
        </w:rPr>
        <w:t xml:space="preserve">27、线上融资</w:t>
      </w:r>
      <w:r/>
    </w:p>
    <w:p>
      <w:pPr>
        <w:ind w:firstLine="480"/>
        <w:spacing w:line="480" w:lineRule="exact"/>
        <w:rPr>
          <w:rFonts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 xml:space="preserve">中标人可凭政府采购合同办理融资贷款，详情见江苏政府采购网“政采贷”专栏。</w:t>
      </w:r>
      <w:r/>
    </w:p>
    <w:p>
      <w:pPr>
        <w:ind w:firstLine="482"/>
        <w:spacing w:line="480" w:lineRule="exact"/>
        <w:rPr>
          <w:rFonts w:ascii="仿宋" w:hAnsi="仿宋" w:eastAsia="仿宋" w:cs="仿宋"/>
          <w:color w:val="auto"/>
          <w:sz w:val="24"/>
          <w:highlight w:val="none"/>
        </w:rPr>
      </w:pPr>
      <w:r>
        <w:rPr>
          <w:rFonts w:hint="eastAsia" w:ascii="仿宋" w:hAnsi="仿宋" w:eastAsia="仿宋" w:cs="仿宋"/>
          <w:b/>
          <w:color w:val="auto"/>
          <w:sz w:val="24"/>
          <w:highlight w:val="none"/>
        </w:rPr>
        <w:t xml:space="preserve">28、合同履行</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28.1政府采购合同订立后，合同各方不得擅自变更、中止或者终止合同。</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ind w:firstLine="499"/>
        <w:spacing w:line="560" w:lineRule="exact"/>
        <w:rPr>
          <w:rFonts w:ascii="仿宋" w:hAnsi="仿宋" w:eastAsia="仿宋" w:cs="仿宋"/>
          <w:b/>
          <w:bCs/>
          <w:color w:val="auto"/>
          <w:sz w:val="28"/>
          <w:szCs w:val="28"/>
          <w:highlight w:val="none"/>
        </w:rPr>
        <w:outlineLvl w:val="1"/>
      </w:pPr>
      <w:r/>
      <w:bookmarkStart w:id="132" w:name="_Toc81575199"/>
      <w:r/>
      <w:bookmarkStart w:id="133" w:name="_Toc7550"/>
      <w:r/>
      <w:bookmarkStart w:id="134" w:name="_Toc22084"/>
      <w:r/>
      <w:bookmarkStart w:id="135" w:name="_Toc81575162"/>
      <w:r>
        <w:rPr>
          <w:rFonts w:hint="eastAsia" w:ascii="仿宋" w:hAnsi="仿宋" w:eastAsia="仿宋" w:cs="仿宋"/>
          <w:b/>
          <w:bCs/>
          <w:color w:val="auto"/>
          <w:sz w:val="28"/>
          <w:szCs w:val="28"/>
          <w:highlight w:val="none"/>
        </w:rPr>
        <w:t xml:space="preserve">八、</w:t>
      </w:r>
      <w:bookmarkEnd w:id="132"/>
      <w:r/>
      <w:bookmarkEnd w:id="133"/>
      <w:r/>
      <w:bookmarkEnd w:id="134"/>
      <w:r/>
      <w:bookmarkEnd w:id="135"/>
      <w:r/>
      <w:bookmarkStart w:id="136" w:name="_Toc81575200"/>
      <w:r/>
      <w:bookmarkStart w:id="137" w:name="_Toc31888"/>
      <w:r/>
      <w:bookmarkStart w:id="138" w:name="_Toc81575163"/>
      <w:r/>
      <w:bookmarkStart w:id="139" w:name="_Toc12263"/>
      <w:r>
        <w:rPr>
          <w:rFonts w:hint="eastAsia" w:ascii="仿宋" w:hAnsi="仿宋" w:eastAsia="仿宋" w:cs="仿宋"/>
          <w:b/>
          <w:bCs/>
          <w:color w:val="auto"/>
          <w:sz w:val="28"/>
          <w:szCs w:val="28"/>
          <w:highlight w:val="none"/>
        </w:rPr>
        <w:t xml:space="preserve">质疑与投诉</w:t>
      </w:r>
      <w:bookmarkEnd w:id="136"/>
      <w:r/>
      <w:bookmarkEnd w:id="137"/>
      <w:r/>
      <w:bookmarkEnd w:id="138"/>
      <w:r/>
      <w:bookmarkEnd w:id="139"/>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29、质疑</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29.1供应商认为采购文件、采购过程和中标结果使自己的权益受到损害的，可以在知道或者应知其权益受到损害之日起七个工作日内，</w:t>
      </w:r>
      <w:bookmarkStart w:id="140" w:name="OLE_LINK2"/>
      <w:r>
        <w:rPr>
          <w:rFonts w:hint="eastAsia" w:ascii="仿宋" w:hAnsi="仿宋" w:eastAsia="仿宋" w:cs="仿宋"/>
          <w:b/>
          <w:bCs/>
          <w:color w:val="auto"/>
          <w:sz w:val="24"/>
          <w:highlight w:val="none"/>
        </w:rPr>
        <w:t xml:space="preserve">登录“苏采云”系统，从“项目质疑申请”模块向采购人提出质疑</w:t>
      </w:r>
      <w:bookmarkEnd w:id="140"/>
      <w:r>
        <w:rPr>
          <w:rFonts w:hint="eastAsia" w:ascii="仿宋" w:hAnsi="仿宋" w:eastAsia="仿宋" w:cs="仿宋"/>
          <w:b/>
          <w:bCs/>
          <w:color w:val="auto"/>
          <w:sz w:val="24"/>
          <w:highlight w:val="none"/>
        </w:rPr>
        <w:t xml:space="preserve">。</w:t>
      </w:r>
      <w:bookmarkStart w:id="141" w:name="OLE_LINK1"/>
      <w:r>
        <w:rPr>
          <w:rFonts w:hint="eastAsia" w:ascii="仿宋" w:hAnsi="仿宋" w:eastAsia="仿宋" w:cs="仿宋"/>
          <w:color w:val="auto"/>
          <w:sz w:val="24"/>
          <w:highlight w:val="none"/>
        </w:rPr>
        <w:t xml:space="preserve">质疑联系部门、联系电话、通讯地址详见采购公告。</w:t>
      </w:r>
      <w:bookmarkEnd w:id="141"/>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29.2供应商应知其权益受到损害之日，是指：</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（2）对本项目采购过程提出质疑的，为各采购程序环节结束之日；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（3）对本项目中标结果提出质疑的，为中标结果公告期限届满之日。</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29.4供应商提出质疑应当提交质疑函和必要的证明材料。质疑函的必备内容：</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（1）供应商的姓名或者名称、地址、邮编、联系人及联系电话；</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（2）质疑项目的名称、编号；</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（3）获取采购文件的时间；</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（4）具体、明确的质疑事项和质疑事项相关的请求；</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（5）事实依据；</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（6）必要的法律依据；</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（7）提出质疑的日期；</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30、投诉</w:t>
      </w:r>
      <w:r/>
    </w:p>
    <w:p>
      <w:pPr>
        <w:ind w:firstLine="480"/>
        <w:spacing w:line="480" w:lineRule="exact"/>
        <w:rPr>
          <w:rFonts w:ascii="仿宋" w:hAnsi="仿宋" w:eastAsia="仿宋" w:cs="仿宋"/>
          <w:bCs/>
          <w:color w:val="auto"/>
          <w:sz w:val="44"/>
          <w:szCs w:val="28"/>
          <w:highlight w:val="none"/>
        </w:rPr>
      </w:pPr>
      <w:r>
        <w:rPr>
          <w:rFonts w:hint="eastAsia" w:ascii="仿宋" w:hAnsi="仿宋" w:eastAsia="仿宋" w:cs="仿宋"/>
          <w:color w:val="auto"/>
          <w:sz w:val="24"/>
          <w:highlight w:val="none"/>
        </w:rPr>
        <w:t xml:space="preserve">质疑供应商对答复不满意或采购人、采购代理机构未在规定时间内作出答复的，可在答复期满后15个工作日内向同级财政部门提起投诉。</w:t>
      </w:r>
      <w:r>
        <w:rPr>
          <w:rFonts w:hint="eastAsia" w:ascii="仿宋" w:hAnsi="仿宋" w:eastAsia="仿宋" w:cs="仿宋"/>
          <w:bCs/>
          <w:color w:val="auto"/>
          <w:sz w:val="44"/>
          <w:szCs w:val="28"/>
          <w:highlight w:val="none"/>
        </w:rPr>
        <w:br w:type="page" w:clear="all"/>
      </w:r>
      <w:r/>
    </w:p>
    <w:p>
      <w:pPr>
        <w:jc w:val="center"/>
        <w:spacing w:line="360" w:lineRule="auto"/>
        <w:rPr>
          <w:rFonts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第三章  </w:t>
      </w:r>
      <w:bookmarkEnd w:id="110"/>
      <w:r/>
      <w:bookmarkEnd w:id="111"/>
      <w:r>
        <w:rPr>
          <w:rFonts w:hint="eastAsia" w:ascii="仿宋" w:hAnsi="仿宋" w:eastAsia="仿宋" w:cs="仿宋"/>
          <w:b/>
          <w:bCs/>
          <w:color w:val="auto"/>
          <w:sz w:val="44"/>
          <w:szCs w:val="44"/>
          <w:highlight w:val="none"/>
        </w:rPr>
        <w:t xml:space="preserve">资格审查及评标办法</w:t>
      </w:r>
      <w:bookmarkEnd w:id="112"/>
      <w:r/>
      <w:r/>
    </w:p>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一、资格审查。</w:t>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资格审查人员按照下列指标对各投标人的资格进行审查，未通过审查的为无效标，不参与评标。</w:t>
      </w:r>
      <w:r/>
    </w:p>
    <w:tbl>
      <w:tblPr>
        <w:tblStyle w:val="771"/>
        <w:tblW w:w="5014"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6250"/>
        <w:gridCol w:w="2698"/>
      </w:tblGrid>
      <w:tr>
        <w:trPr>
          <w:trHeight w:val="338"/>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338"/>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38"/>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信用信息</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666"/>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38"/>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本项目的特定资格要求</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48"/>
        </w:trPr>
        <w:tc>
          <w:tcPr>
            <w:tcBorders>
              <w:top w:val="single" w:color="auto" w:sz="4" w:space="0"/>
              <w:left w:val="single" w:color="auto" w:sz="4" w:space="0"/>
              <w:bottom w:val="single" w:color="auto" w:sz="4" w:space="0"/>
              <w:right w:val="single" w:color="auto" w:sz="4" w:space="0"/>
            </w:tcBorders>
            <w:tcW w:w="3487"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联合体投标</w:t>
            </w:r>
            <w:r/>
          </w:p>
        </w:tc>
        <w:tc>
          <w:tcPr>
            <w:tcBorders>
              <w:top w:val="single" w:color="auto" w:sz="4" w:space="0"/>
              <w:left w:val="single" w:color="auto" w:sz="4" w:space="0"/>
              <w:bottom w:val="single" w:color="auto" w:sz="4" w:space="0"/>
              <w:right w:val="single" w:color="auto" w:sz="4" w:space="0"/>
            </w:tcBorders>
            <w:tcW w:w="1512"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不接受联合体投标</w:t>
            </w:r>
            <w:r/>
          </w:p>
        </w:tc>
      </w:tr>
    </w:tbl>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二、符合性审查。</w:t>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评标委员会首先按照下列指标对各投标人的投标文件进行符合性审查，未通过审查的为无效标，不再参与评审。</w:t>
      </w:r>
      <w:r/>
    </w:p>
    <w:tbl>
      <w:tblPr>
        <w:tblStyle w:val="771"/>
        <w:tblW w:w="5003"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63"/>
        <w:gridCol w:w="4465"/>
      </w:tblGrid>
      <w:tr>
        <w:trPr>
          <w:trHeight w:val="390"/>
        </w:trPr>
        <w:tc>
          <w:tcPr>
            <w:tcBorders>
              <w:top w:val="single" w:color="auto" w:sz="4" w:space="0"/>
              <w:left w:val="single" w:color="auto" w:sz="4" w:space="0"/>
              <w:bottom w:val="single" w:color="auto" w:sz="4" w:space="0"/>
              <w:right w:val="single" w:color="auto" w:sz="4" w:space="0"/>
            </w:tcBorders>
            <w:tcW w:w="2499"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审查标准</w:t>
            </w:r>
            <w:r/>
          </w:p>
        </w:tc>
      </w:tr>
      <w:tr>
        <w:trPr>
          <w:trHeight w:val="352"/>
        </w:trPr>
        <w:tc>
          <w:tcPr>
            <w:tcBorders>
              <w:top w:val="single" w:color="auto" w:sz="4" w:space="0"/>
              <w:left w:val="single" w:color="auto" w:sz="4" w:space="0"/>
              <w:bottom w:val="single" w:color="auto" w:sz="4" w:space="0"/>
              <w:right w:val="single" w:color="auto" w:sz="4" w:space="0"/>
            </w:tcBorders>
            <w:tcW w:w="2499"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w:t>
            </w:r>
            <w:r>
              <w:rPr>
                <w:rFonts w:hint="eastAsia" w:ascii="仿宋" w:hAnsi="仿宋" w:eastAsia="仿宋" w:cs="仿宋"/>
                <w:color w:val="auto"/>
                <w:sz w:val="24"/>
                <w:szCs w:val="24"/>
                <w:highlight w:val="none"/>
              </w:rPr>
              <w:t xml:space="preserve">人</w:t>
            </w:r>
            <w:r>
              <w:rPr>
                <w:rFonts w:hint="eastAsia" w:ascii="仿宋" w:hAnsi="仿宋" w:eastAsia="仿宋" w:cs="仿宋"/>
                <w:color w:val="auto"/>
                <w:sz w:val="24"/>
                <w:szCs w:val="24"/>
                <w:highlight w:val="none"/>
              </w:rPr>
              <w:t xml:space="preserve">授权书</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52"/>
        </w:trPr>
        <w:tc>
          <w:tcPr>
            <w:tcBorders>
              <w:top w:val="single" w:color="auto" w:sz="4" w:space="0"/>
              <w:left w:val="single" w:color="auto" w:sz="4" w:space="0"/>
              <w:bottom w:val="single" w:color="auto" w:sz="4" w:space="0"/>
              <w:right w:val="single" w:color="auto" w:sz="4" w:space="0"/>
            </w:tcBorders>
            <w:tcW w:w="2499"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52"/>
        </w:trPr>
        <w:tc>
          <w:tcPr>
            <w:tcBorders>
              <w:top w:val="single" w:color="auto" w:sz="4" w:space="0"/>
              <w:left w:val="single" w:color="auto" w:sz="4" w:space="0"/>
              <w:bottom w:val="single" w:color="auto" w:sz="4" w:space="0"/>
              <w:right w:val="single" w:color="auto" w:sz="4" w:space="0"/>
            </w:tcBorders>
            <w:tcW w:w="2499"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r>
        <w:trPr>
          <w:trHeight w:val="363"/>
        </w:trPr>
        <w:tc>
          <w:tcPr>
            <w:tcBorders>
              <w:top w:val="single" w:color="auto" w:sz="4" w:space="0"/>
              <w:left w:val="single" w:color="auto" w:sz="4" w:space="0"/>
              <w:bottom w:val="single" w:color="auto" w:sz="4" w:space="0"/>
              <w:right w:val="single" w:color="auto" w:sz="4" w:space="0"/>
            </w:tcBorders>
            <w:tcW w:w="2499"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符合招标文件要求</w:t>
            </w:r>
            <w:r/>
          </w:p>
        </w:tc>
      </w:tr>
    </w:tbl>
    <w:p>
      <w:pPr>
        <w:ind w:firstLine="499"/>
        <w:spacing w:line="560" w:lineRule="exact"/>
        <w:rPr>
          <w:rFonts w:ascii="仿宋" w:hAnsi="仿宋" w:eastAsia="仿宋" w:cs="仿宋"/>
          <w:b/>
          <w:bCs/>
          <w:color w:val="auto"/>
          <w:sz w:val="28"/>
          <w:szCs w:val="28"/>
          <w:highlight w:val="none"/>
        </w:rPr>
        <w:outlineLvl w:val="1"/>
      </w:pPr>
      <w:r>
        <w:rPr>
          <w:rFonts w:hint="eastAsia" w:ascii="仿宋" w:hAnsi="仿宋" w:eastAsia="仿宋" w:cs="仿宋"/>
          <w:b/>
          <w:bCs/>
          <w:color w:val="auto"/>
          <w:sz w:val="28"/>
          <w:szCs w:val="28"/>
          <w:highlight w:val="none"/>
        </w:rPr>
        <w:t xml:space="preserve">三、评标方法</w:t>
      </w:r>
      <w:r/>
    </w:p>
    <w:p>
      <w:pPr>
        <w:ind w:firstLine="480"/>
        <w:jc w:val="left"/>
        <w:spacing w:line="480" w:lineRule="exact"/>
        <w:rPr>
          <w:rFonts w:ascii="仿宋" w:hAnsi="仿宋" w:eastAsia="仿宋" w:cs="仿宋"/>
          <w:color w:val="auto"/>
          <w:sz w:val="24"/>
          <w:highlight w:val="none"/>
        </w:rPr>
      </w:pPr>
      <w:r>
        <w:rPr>
          <w:rFonts w:hint="eastAsia" w:ascii="仿宋" w:hAnsi="仿宋" w:eastAsia="仿宋" w:cs="仿宋"/>
          <w:color w:val="auto"/>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综合评分保留至小数点后两位。</w:t>
      </w:r>
      <w:r/>
    </w:p>
    <w:p>
      <w:pPr>
        <w:ind w:firstLine="480"/>
        <w:jc w:val="left"/>
        <w:spacing w:line="4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评标委员会根据评标后投标人排序推荐中标候选人，并形成评标报告。</w:t>
      </w:r>
      <w:r/>
    </w:p>
    <w:p>
      <w:pPr>
        <w:ind w:firstLine="480"/>
        <w:spacing w:line="4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本次招标共分为2个采购包。</w:t>
      </w:r>
      <w:r/>
    </w:p>
    <w:p>
      <w:pPr>
        <w:ind w:firstLine="480"/>
        <w:spacing w:line="48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各包独立评分，独立报价，各包不得兼中。评标委员会根据采购包1、包2的顺序进行评审，如果投标人在采购包1被推荐为第一中标候选人，仍参与采购包2的评审，但不能再被推荐为中标候选人。评审结束后，若其中1个包受到质疑、投诉等原因，导致本包评审结果改变，不影响其他包的评审</w:t>
      </w:r>
      <w:r>
        <w:rPr>
          <w:rFonts w:hint="eastAsia" w:ascii="仿宋" w:hAnsi="仿宋" w:eastAsia="仿宋" w:cs="仿宋"/>
          <w:bCs/>
          <w:color w:val="auto"/>
          <w:sz w:val="24"/>
          <w:highlight w:val="none"/>
          <w:lang w:val="en-US" w:eastAsia="zh-CN"/>
        </w:rPr>
        <w:t xml:space="preserve">结果</w:t>
      </w:r>
      <w:r>
        <w:rPr>
          <w:rFonts w:hint="eastAsia" w:ascii="仿宋" w:hAnsi="仿宋" w:eastAsia="仿宋" w:cs="仿宋"/>
          <w:bCs/>
          <w:color w:val="auto"/>
          <w:sz w:val="24"/>
          <w:highlight w:val="none"/>
        </w:rPr>
        <w:t xml:space="preserve">。</w:t>
      </w:r>
      <w:r/>
    </w:p>
    <w:p>
      <w:pPr>
        <w:ind w:firstLine="499"/>
        <w:spacing w:line="560" w:lineRule="exact"/>
        <w:rPr>
          <w:rFonts w:ascii="仿宋" w:hAnsi="仿宋" w:eastAsia="仿宋" w:cs="仿宋"/>
          <w:b/>
          <w:bCs/>
          <w:color w:val="auto"/>
          <w:sz w:val="28"/>
          <w:szCs w:val="28"/>
          <w:highlight w:val="none"/>
        </w:rPr>
        <w:outlineLvl w:val="1"/>
      </w:pPr>
      <w:r/>
      <w:bookmarkStart w:id="142" w:name="EBe0cfd1035ea44f689f97db50fccddc8b"/>
      <w:r>
        <w:rPr>
          <w:rFonts w:hint="eastAsia" w:ascii="仿宋" w:hAnsi="仿宋" w:eastAsia="仿宋" w:cs="仿宋"/>
          <w:b/>
          <w:bCs/>
          <w:color w:val="auto"/>
          <w:sz w:val="28"/>
          <w:szCs w:val="28"/>
          <w:highlight w:val="none"/>
        </w:rPr>
        <w:t xml:space="preserve">四、评标标准</w:t>
      </w:r>
      <w:bookmarkEnd w:id="142"/>
      <w:r/>
      <w:r/>
    </w:p>
    <w:p>
      <w:pPr>
        <w:ind w:firstLine="480"/>
        <w:jc w:val="left"/>
        <w:spacing w:line="480" w:lineRule="exact"/>
        <w:rPr>
          <w:rFonts w:hint="default"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1、评标标准（采购包1）</w:t>
      </w:r>
      <w:r/>
    </w:p>
    <w:tbl>
      <w:tblPr>
        <w:tblStyle w:val="771"/>
        <w:tblW w:w="5054"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861"/>
        <w:gridCol w:w="1003"/>
        <w:gridCol w:w="7165"/>
      </w:tblGrid>
      <w:tr>
        <w:trPr>
          <w:trHeight w:val="423"/>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3967"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trHeight w:val="423"/>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W w:w="3967" w:type="pct"/>
            <w:vAlign w:val="center"/>
            <w:textDirection w:val="lrTb"/>
            <w:noWrap/>
          </w:tcPr>
          <w:p>
            <w:pPr>
              <w:jc w:val="left"/>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采用低价优先法计算，即满足招标文件要求且投标报价最低的报价为评审基准价，其价格分为满分。</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其他投标人报价得分＝（评标基准价/投标人报价）*10。</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b/>
                <w:bCs/>
                <w:color w:val="auto"/>
                <w:szCs w:val="22"/>
                <w:highlight w:val="none"/>
                <w:rtl w:val="0"/>
                <w:lang w:val="en-US" w:eastAsia="zh-CN"/>
              </w:rPr>
              <w:t xml:space="preserve">注：符合规定的小微企业（含监狱企业和残疾人福利单位）报价给予10%的扣除，用扣除后的价格参加评审。</w:t>
            </w:r>
            <w:r/>
          </w:p>
        </w:tc>
      </w:tr>
      <w:tr>
        <w:trPr>
          <w:trHeight w:val="3650"/>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投标人业绩</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2021年1月1日（以验收时间为准）以来，承担过类似项目业绩（包括征地移民安置监督评估或征地移民安置监理或征地移民安置监测评估）的，每有一个业绩得4分，最高得8分。（业绩证明材料须提供：1.合同协议书；2.自验或初验或终验等移民专项验收证明，或业主单位提供的相关工作完成证明）</w:t>
            </w:r>
            <w:r/>
          </w:p>
          <w:p>
            <w:pPr>
              <w:pStyle w:val="772"/>
              <w:ind w:firstLine="0"/>
              <w:jc w:val="left"/>
              <w:spacing w:line="38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注：专项验收应由各级人民政府（或管委会）、或其征迁管理机构、或其行业主管部门组织。</w:t>
            </w:r>
            <w:r/>
          </w:p>
          <w:p>
            <w:pPr>
              <w:pStyle w:val="772"/>
              <w:ind w:firstLine="0"/>
              <w:jc w:val="left"/>
              <w:spacing w:line="380" w:lineRule="exact"/>
              <w:rPr>
                <w:rFonts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投标人业绩和拟任监督评估总负责人业绩不可重复计算得分，监督评估总负责人得分优先。</w:t>
            </w:r>
            <w:r/>
          </w:p>
        </w:tc>
      </w:tr>
      <w:tr>
        <w:trPr>
          <w:trHeight w:val="4054"/>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拟任监督评估总负责人业绩</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任监督评估总负责人2021年1月1日（以验收时间为准）以来担任过类似项目（包括征地移民安置监督评估或征地移民安置监理或征地移民安置监测评估）总负责人业绩，有1项得4分，最多得4分。（业绩证明材料须提供：1.合同协议书；2.自验或初验或终验等移民专项验收证明，或业主单位提供的相关工作完成证明）</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注：1.证明材料无法体现拟任监督评估总负责人职务信息的，需业主单位提供证明予以明确；2.专项验收应由各级人民政府（或管委会）、或其征迁管理机构、或其行业主管部门组织。</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投标人业绩和拟任监督评估总负责人业绩不可重复计算得分，监督评估总负责人得分优先。</w:t>
            </w:r>
            <w:r/>
          </w:p>
        </w:tc>
      </w:tr>
      <w:tr>
        <w:trPr>
          <w:trHeight w:val="2930"/>
        </w:trPr>
        <w:tc>
          <w:tcPr>
            <w:tcW w:w="476" w:type="pct"/>
            <w:vAlign w:val="center"/>
            <w:textDirection w:val="lrTb"/>
            <w:noWrap/>
          </w:tcPr>
          <w:p>
            <w:pPr>
              <w:pStyle w:val="794"/>
              <w:jc w:val="center"/>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监督评估机构人员配置</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23分</w:t>
            </w:r>
            <w:r/>
          </w:p>
        </w:tc>
        <w:tc>
          <w:tcPr>
            <w:tcW w:w="3967" w:type="pct"/>
            <w:vAlign w:val="center"/>
            <w:textDirection w:val="lrTb"/>
            <w:noWrap/>
          </w:tcPr>
          <w:p>
            <w:pPr>
              <w:pStyle w:val="794"/>
              <w:jc w:val="left"/>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（1）拟任监督评估总负责人具有工程类或经济类副高级及以上技术职称得5分。（提供职称证书）</w:t>
            </w:r>
            <w:r/>
          </w:p>
          <w:p>
            <w:pPr>
              <w:pStyle w:val="794"/>
              <w:jc w:val="left"/>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（2）拟任监督评估负责人具有工程类或经济类中级及以上技术职称和2年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以上移民安置监督评估工作经历，每有1人得2分，最多得4分。（提供职称证书和工作经历证明）</w:t>
            </w:r>
            <w:r/>
          </w:p>
          <w:p>
            <w:pPr>
              <w:pStyle w:val="794"/>
              <w:jc w:val="left"/>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（3）监督评估机构人员（除拟任监督评估总负责人、监督评估负责人外）具有移民、测量（测绘）、财务、档案、工程造价等专业人员，且其具有从事移民安置相关工作1年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以上工作经历的，每有1个专业得2分，最多得10分。（提供相关证书及工作经历证明，专业以学历证书或学位证书或执业资格证书或职称证书或培训证书为准，同一人只计一次分）</w:t>
            </w:r>
            <w:r/>
          </w:p>
          <w:p>
            <w:pPr>
              <w:pStyle w:val="794"/>
              <w:jc w:val="left"/>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（4）除上述(1)、(2)、(3)项人员外，每增加1名移民或测量（测绘）专业人员且其具有工程类或经济类中级及以上技术职称和从事移民安置相关工作1年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rPr>
              <w:t xml:space="preserve">以上工作经历的，每有1人得2分，最多得4分。（提供相关证书及工作经历证明，专业以学历证书或学位证书或执业资格证书或职称证书或培训证书为准，同一人只计一次分）</w:t>
            </w:r>
            <w:r/>
          </w:p>
          <w:p>
            <w:pPr>
              <w:pStyle w:val="794"/>
              <w:jc w:val="left"/>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本项最多得23分。</w:t>
            </w:r>
            <w:r/>
          </w:p>
          <w:p>
            <w:pPr>
              <w:pStyle w:val="792"/>
              <w:ind w:left="0"/>
              <w:jc w:val="left"/>
              <w:spacing w:after="0" w:line="380" w:lineRule="exact"/>
              <w:rPr>
                <w:rFonts w:ascii="仿宋" w:hAnsi="仿宋" w:eastAsia="仿宋" w:cs="仿宋"/>
                <w:color w:val="auto"/>
                <w:szCs w:val="24"/>
                <w:highlight w:val="none"/>
              </w:rPr>
            </w:pPr>
            <w:r>
              <w:rPr>
                <w:rFonts w:ascii="仿宋" w:hAnsi="仿宋" w:eastAsia="仿宋" w:cs="仿宋"/>
                <w:color w:val="auto"/>
                <w:sz w:val="24"/>
                <w:szCs w:val="24"/>
                <w:highlight w:val="none"/>
              </w:rPr>
              <w:t xml:space="preserve">注：</w:t>
            </w:r>
            <w:r>
              <w:rPr>
                <w:rFonts w:hint="default" w:ascii="仿宋" w:hAnsi="仿宋" w:eastAsia="仿宋" w:cs="仿宋"/>
                <w:color w:val="auto"/>
                <w:sz w:val="24"/>
                <w:szCs w:val="24"/>
                <w:highlight w:val="none"/>
                <w:lang w:val="en-US" w:eastAsia="zh-CN" w:bidi="ar-SA"/>
              </w:rPr>
              <w:t xml:space="preserve">①</w:t>
            </w:r>
            <w:r>
              <w:rPr>
                <w:rFonts w:hint="eastAsia" w:ascii="仿宋" w:hAnsi="仿宋" w:eastAsia="仿宋" w:cs="仿宋"/>
                <w:color w:val="auto"/>
                <w:sz w:val="24"/>
                <w:szCs w:val="24"/>
                <w:highlight w:val="none"/>
                <w:lang w:eastAsia="zh-CN"/>
              </w:rPr>
              <w:t xml:space="preserve">工作经历证明材料</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eastAsia="zh-CN"/>
              </w:rPr>
              <w:t xml:space="preserve">相应的业主单位出具</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履职证明，证明中需明确参加项目名称、合同签订时间及项目组成员，工作经历以合同签</w:t>
            </w:r>
            <w:r>
              <w:rPr>
                <w:rFonts w:hint="eastAsia" w:ascii="仿宋" w:hAnsi="仿宋" w:eastAsia="仿宋" w:cs="仿宋"/>
                <w:color w:val="auto"/>
                <w:sz w:val="24"/>
                <w:szCs w:val="24"/>
                <w:highlight w:val="none"/>
                <w:lang w:val="en-US" w:eastAsia="zh-CN"/>
              </w:rPr>
              <w:t xml:space="preserve">订</w:t>
            </w:r>
            <w:r>
              <w:rPr>
                <w:rFonts w:hint="eastAsia" w:ascii="仿宋" w:hAnsi="仿宋" w:eastAsia="仿宋" w:cs="仿宋"/>
                <w:color w:val="auto"/>
                <w:sz w:val="24"/>
                <w:szCs w:val="24"/>
                <w:highlight w:val="none"/>
                <w:lang w:eastAsia="zh-CN"/>
              </w:rPr>
              <w:t xml:space="preserve">时间至本项目投标截止时间的间隔计算。</w:t>
            </w:r>
            <w:r>
              <w:rPr>
                <w:rFonts w:hint="default" w:ascii="仿宋" w:hAnsi="仿宋" w:eastAsia="仿宋" w:cs="仿宋"/>
                <w:color w:val="auto"/>
                <w:sz w:val="24"/>
                <w:szCs w:val="24"/>
                <w:highlight w:val="none"/>
                <w:lang w:val="en-US" w:eastAsia="zh-CN" w:bidi="ar-SA"/>
              </w:rPr>
              <w:t xml:space="preserve">②</w:t>
            </w:r>
            <w:r>
              <w:rPr>
                <w:rFonts w:hint="eastAsia" w:ascii="仿宋" w:hAnsi="仿宋" w:eastAsia="仿宋" w:cs="仿宋"/>
                <w:color w:val="auto"/>
                <w:sz w:val="24"/>
                <w:szCs w:val="24"/>
                <w:highlight w:val="none"/>
              </w:rPr>
              <w:t xml:space="preserve">上述人</w:t>
            </w:r>
            <w:r>
              <w:rPr>
                <w:rStyle w:val="984"/>
                <w:rFonts w:hint="eastAsia" w:ascii="仿宋" w:hAnsi="仿宋" w:eastAsia="仿宋" w:cs="仿宋"/>
                <w:color w:val="auto"/>
                <w:sz w:val="24"/>
                <w:szCs w:val="24"/>
                <w:highlight w:val="none"/>
                <w:lang w:eastAsia="zh-CN"/>
              </w:rPr>
              <w:t xml:space="preserve">员须提供投标人2025年</w:t>
            </w:r>
            <w:r>
              <w:rPr>
                <w:rStyle w:val="984"/>
                <w:rFonts w:hint="eastAsia" w:ascii="仿宋" w:hAnsi="仿宋" w:eastAsia="仿宋" w:cs="仿宋"/>
                <w:color w:val="auto"/>
                <w:sz w:val="24"/>
                <w:szCs w:val="24"/>
                <w:highlight w:val="none"/>
                <w:lang w:val="en-US" w:eastAsia="zh-CN"/>
              </w:rPr>
              <w:t xml:space="preserve">10</w:t>
            </w:r>
            <w:r>
              <w:rPr>
                <w:rStyle w:val="984"/>
                <w:rFonts w:hint="eastAsia" w:ascii="仿宋" w:hAnsi="仿宋" w:eastAsia="仿宋" w:cs="仿宋"/>
                <w:color w:val="auto"/>
                <w:sz w:val="24"/>
                <w:szCs w:val="24"/>
                <w:highlight w:val="none"/>
                <w:lang w:eastAsia="zh-CN"/>
              </w:rPr>
              <w:t xml:space="preserve">月以来为其缴纳的任意1个月的社保证明材料；退休人员须提供有效的聘用合同、退休证书及本单位为其办理的投标截止时间前有效的意外伤害保险证明。</w:t>
            </w:r>
            <w:r/>
          </w:p>
        </w:tc>
      </w:tr>
      <w:tr>
        <w:trPr>
          <w:trHeight w:val="2037"/>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项目理解及工作思路</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对本项目理解及工作思路进行评分。对项目背景、任务要求理解透彻，工作思路清晰明确，技术路线正确，得6分；理解较透彻，工作思路较清晰，技术路线基本正确，得4分；基本理解，思路不清，技术路线有缺陷，有明显不足的，得2分；没有内容不得分。</w:t>
            </w:r>
            <w:r/>
          </w:p>
        </w:tc>
      </w:tr>
      <w:tr>
        <w:trPr>
          <w:trHeight w:val="2037"/>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移民安置进度监督评估</w:t>
            </w:r>
            <w:r/>
          </w:p>
          <w:p>
            <w:pPr>
              <w:jc w:val="center"/>
              <w:spacing w:line="3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进度监督评估服务方案进行打分。目标清晰、内容全面、程序规范、方法措施合理、依据充分，得8分；目标较清晰、内容基本全面、程序规范、方法措施欠合理、依据不够充分，得6分；目标不够清晰、内容不够全面、程序不规范、方法措施不合理、依据不充分，得4分；没有内容不得分。</w:t>
            </w:r>
            <w:r/>
          </w:p>
        </w:tc>
      </w:tr>
      <w:tr>
        <w:trPr>
          <w:trHeight w:val="2037"/>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移民安置质量监督评估</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质量监督评估服务方案进行打分。目标清晰、内容全面、程序规范、方法措施合理、依据充分，得8分；目标较清晰、内容基本全面、程序规范、方法措施欠合理、依据不够充分，得6分；目标不够清晰、内容不够全面、程序不规范、方法措施不合理、依据不充分，得4分；没有内容不得分。</w:t>
            </w:r>
            <w:r/>
          </w:p>
        </w:tc>
      </w:tr>
      <w:tr>
        <w:trPr>
          <w:trHeight w:val="2441"/>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移民资金的拨付和使用情况监督评估</w:t>
            </w:r>
            <w:r/>
          </w:p>
        </w:tc>
        <w:tc>
          <w:tcPr>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根据投标人移民资金的拨付和使用情况监督评估服务方案进行打分。目标清晰、内容全面、程序规范、方法措施合理、依据充分，得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分；目标较清晰、内容基本全面、程序规范、方法措施欠合理、依据不够充分，得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分；目标不够清晰、内容不够全面、程序不规范、方法措施不合理、依据不充分，得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分；没有内容不得分。</w:t>
            </w:r>
            <w:r/>
          </w:p>
        </w:tc>
      </w:tr>
      <w:tr>
        <w:trPr>
          <w:trHeight w:val="2216"/>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移民安置档案监督评估</w:t>
            </w:r>
            <w:r/>
          </w:p>
        </w:tc>
        <w:tc>
          <w:tcPr>
            <w:shd w:val="clear" w:color="auto" w:fill="auto"/>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根据投标人移民安置档案监督评估服务方案进行打分。目标清晰、内容全面、程序规范、方法措施合理、依据充分，得</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分；目标较清晰、内容基本全面、程序规范、方法措施欠合理、依据不够充分，得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分；目标不够清晰、内容不够全面、程序不规范、方法措施不合理、依据不充分，得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分；没有内容不得分。</w:t>
            </w:r>
            <w:r/>
          </w:p>
        </w:tc>
      </w:tr>
      <w:tr>
        <w:trPr>
          <w:trHeight w:val="2833"/>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移民生产生活水平恢复情况监督评估</w:t>
            </w:r>
            <w:r/>
          </w:p>
        </w:tc>
        <w:tc>
          <w:tcPr>
            <w:shd w:val="clear" w:color="auto" w:fill="auto"/>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根据投标人移民生产生活水平恢复情况监督评估服务方案进行打分。目标清晰、内容全面、程序规范、方法措施合理、依据充分，得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分；目标较清晰、内容基本全面、程序规范、方法措施欠合理、依据不够充分，得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分；目标不够清晰、内容不够全面、程序不规范、方法措施不合理、依据不充分，得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分；没有内容不得分。</w:t>
            </w:r>
            <w:r/>
          </w:p>
        </w:tc>
      </w:tr>
      <w:tr>
        <w:trPr>
          <w:trHeight w:val="2056"/>
        </w:trPr>
        <w:tc>
          <w:tcPr>
            <w:tcW w:w="476"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监督评估工作重难点分析</w:t>
            </w:r>
            <w:r/>
          </w:p>
          <w:p>
            <w:pPr>
              <w:jc w:val="center"/>
              <w:spacing w:line="3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555"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投标人根据监督评估规程和采购需求提供项目重点难点分析。能精准提出项目中的重点、难点，重难点分析准确，应对措施及建议合理的，得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分；重难点分析较准确，应对措施及建议较合理的，得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分；重难点分析不准确，应对措施及建议较差，得</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分；没有内容不得分。</w:t>
            </w:r>
            <w:r/>
          </w:p>
        </w:tc>
      </w:tr>
      <w:tr>
        <w:trPr>
          <w:trHeight w:val="2056"/>
        </w:trPr>
        <w:tc>
          <w:tcPr>
            <w:tcW w:w="476" w:type="pct"/>
            <w:vAlign w:val="center"/>
            <w:textDirection w:val="lrTb"/>
            <w:noWrap/>
          </w:tcPr>
          <w:p>
            <w:pPr>
              <w:jc w:val="center"/>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信息化平台和AI应用开发</w:t>
            </w:r>
            <w:r/>
          </w:p>
          <w:p>
            <w:pPr>
              <w:jc w:val="center"/>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W w:w="555" w:type="pct"/>
            <w:vAlign w:val="center"/>
            <w:textDirection w:val="lrTb"/>
            <w:noWrap/>
          </w:tcPr>
          <w:p>
            <w:pPr>
              <w:jc w:val="center"/>
              <w:spacing w:line="38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4分</w:t>
            </w:r>
            <w:r/>
          </w:p>
        </w:tc>
        <w:tc>
          <w:tcPr>
            <w:shd w:val="clear" w:color="auto" w:fill="auto"/>
            <w:tcW w:w="3967" w:type="pct"/>
            <w:vAlign w:val="center"/>
            <w:textDirection w:val="lrTb"/>
            <w:noWrap/>
          </w:tcPr>
          <w:p>
            <w:pPr>
              <w:jc w:val="left"/>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信息化平台和AI应用开发方案进行打分。信息化平台和AI应用方案合理、需求分析透彻、可操作性强，得4分；方案较合理、需求分析较透彻、可操作性较强，得3分；方案基本合理、需求分析一般、可操作性一般，得2分；没有内容不得分。</w:t>
            </w:r>
            <w:r/>
          </w:p>
        </w:tc>
      </w:tr>
    </w:tbl>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br w:type="page" w:clear="all"/>
      </w:r>
      <w:r/>
    </w:p>
    <w:p>
      <w:pPr>
        <w:numPr>
          <w:ilvl w:val="0"/>
          <w:numId w:val="2"/>
        </w:numPr>
        <w:ind w:firstLine="480"/>
        <w:jc w:val="left"/>
        <w:spacing w:line="480" w:lineRule="exact"/>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评标标准（采购包2）</w:t>
      </w:r>
      <w:r/>
    </w:p>
    <w:tbl>
      <w:tblPr>
        <w:tblStyle w:val="771"/>
        <w:tblW w:w="5043"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886"/>
        <w:gridCol w:w="974"/>
        <w:gridCol w:w="7150"/>
      </w:tblGrid>
      <w:tr>
        <w:trPr>
          <w:trHeight w:val="423"/>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评审因素</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分数</w:t>
            </w:r>
            <w:r/>
          </w:p>
        </w:tc>
        <w:tc>
          <w:tcPr>
            <w:tcW w:w="3967"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w:t>
            </w:r>
            <w:r/>
          </w:p>
        </w:tc>
      </w:tr>
      <w:tr>
        <w:trPr>
          <w:trHeight w:val="423"/>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tcW w:w="3967" w:type="pct"/>
            <w:vAlign w:val="center"/>
            <w:textDirection w:val="lrTb"/>
            <w:noWrap/>
          </w:tcPr>
          <w:p>
            <w:pPr>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采用低价优先法计算，即满足招标文件要求且投标报价最低的报价为评审基准价，其价格分为满分。</w:t>
            </w:r>
            <w:r/>
          </w:p>
          <w:p>
            <w:pPr>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其他投标人报价得分＝（评标基准价/投标人报价）*10。</w:t>
            </w:r>
            <w:r/>
          </w:p>
          <w:p>
            <w:pPr>
              <w:spacing w:line="380" w:lineRule="exact"/>
              <w:rPr>
                <w:rFonts w:ascii="仿宋" w:hAnsi="仿宋" w:eastAsia="仿宋" w:cs="仿宋"/>
                <w:color w:val="auto"/>
                <w:sz w:val="24"/>
                <w:szCs w:val="24"/>
                <w:highlight w:val="none"/>
              </w:rPr>
            </w:pPr>
            <w:r>
              <w:rPr>
                <w:rFonts w:hint="eastAsia" w:ascii="仿宋" w:hAnsi="仿宋" w:eastAsia="仿宋" w:cs="仿宋"/>
                <w:b/>
                <w:bCs/>
                <w:color w:val="auto"/>
                <w:szCs w:val="22"/>
                <w:highlight w:val="none"/>
                <w:rtl w:val="0"/>
                <w:lang w:val="en-US" w:eastAsia="zh-CN"/>
              </w:rPr>
              <w:t xml:space="preserve">注：符合规定的小微企业（含监狱企业和残疾人福利单位）报价给予10%的扣除，用扣除后的价格参加评审。</w:t>
            </w:r>
            <w:r/>
          </w:p>
        </w:tc>
      </w:tr>
      <w:tr>
        <w:trPr>
          <w:trHeight w:val="3650"/>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投标人业绩</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8分</w:t>
            </w:r>
            <w:r/>
          </w:p>
        </w:tc>
        <w:tc>
          <w:tcPr>
            <w:tcW w:w="3967" w:type="pct"/>
            <w:vAlign w:val="center"/>
            <w:textDirection w:val="lrTb"/>
            <w:noWrap/>
          </w:tcPr>
          <w:p>
            <w:pP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自2021年1月1日（以验收时间为准）以来，承担过类似项目业绩（包括征地移民安置监督评估或征地移民安置监理或征地移民安置监测评估）的，每有一个业绩得4分，最高得8分。（业绩证明材料须提供：1.合同协议书；2.自验或初验或终验等移民专项验收证明，或业主单位提供的相关工作完成证明）</w:t>
            </w:r>
            <w:r/>
          </w:p>
          <w:p>
            <w:pPr>
              <w:pStyle w:val="772"/>
              <w:ind w:firstLine="0"/>
              <w:spacing w:line="380" w:lineRule="exact"/>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注：专项验收应由各级人民政府（或管委会）、或其征迁管理机构、或其行业主管部门组织。</w:t>
            </w:r>
            <w:r/>
          </w:p>
          <w:p>
            <w:pPr>
              <w:pStyle w:val="772"/>
              <w:ind w:firstLine="0"/>
              <w:spacing w:line="380" w:lineRule="exact"/>
              <w:rPr>
                <w:rFonts w:ascii="仿宋" w:hAnsi="仿宋" w:eastAsia="仿宋" w:cs="仿宋"/>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投标人业绩和拟任监督评估总负责人业绩不可重复计算得分，监督评估总负责人得分优先。</w:t>
            </w:r>
            <w:r/>
          </w:p>
        </w:tc>
      </w:tr>
      <w:tr>
        <w:trPr>
          <w:trHeight w:val="4054"/>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拟任监督评估总负责人业绩</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任监督评估总负责人2021年1月1日（以验收时间为准）以来担任过类似项目（包括征地移民安置监督评估或征地移民安置监理或征地移民安置监测评估）总负责人业绩，有1项得4分，最多得4分。（业绩证明材料须提供：1.合同协议书；2.自验或初验或终验等移民专项验收证明，或业主单位提供的相关工作完成证明）</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注：1.证明材料无法体现拟任监督评估总负责人职务信息的，需业主单位提供证明予以明确；2.专项验收应由各级人民政府（或管委会）、或其征迁管理机构、或其行业主管部门组织。</w:t>
            </w:r>
            <w:r/>
          </w:p>
          <w:p>
            <w:pPr>
              <w:jc w:val="left"/>
              <w:spacing w:line="380" w:lineRule="exact"/>
              <w:rPr>
                <w:rFonts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投标人业绩和拟任监督评估总负责人业绩不可重复计算得分，监督评估总负责人得分优先。</w:t>
            </w:r>
            <w:r/>
          </w:p>
        </w:tc>
      </w:tr>
      <w:tr>
        <w:trPr>
          <w:trHeight w:val="2930"/>
        </w:trPr>
        <w:tc>
          <w:tcPr>
            <w:tcW w:w="491" w:type="pct"/>
            <w:vAlign w:val="center"/>
            <w:textDirection w:val="lrTb"/>
            <w:noWrap/>
          </w:tcPr>
          <w:p>
            <w:pPr>
              <w:pStyle w:val="794"/>
              <w:jc w:val="center"/>
              <w:spacing w:beforeAutospacing="0" w:afterAutospacing="0" w:line="380" w:lineRule="exact"/>
              <w:widowControl/>
              <w:rPr>
                <w:rFonts w:ascii="仿宋" w:hAnsi="仿宋" w:eastAsia="仿宋" w:cs="仿宋"/>
                <w:color w:val="auto"/>
                <w:szCs w:val="24"/>
                <w:highlight w:val="none"/>
              </w:rPr>
            </w:pPr>
            <w:r>
              <w:rPr>
                <w:rFonts w:hint="eastAsia" w:ascii="仿宋" w:hAnsi="仿宋" w:eastAsia="仿宋" w:cs="仿宋"/>
                <w:color w:val="auto"/>
                <w:szCs w:val="24"/>
                <w:highlight w:val="none"/>
              </w:rPr>
              <w:t xml:space="preserve">监督评估机构人员配置</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19</w:t>
            </w:r>
            <w:r>
              <w:rPr>
                <w:rFonts w:hint="eastAsia" w:ascii="仿宋" w:hAnsi="仿宋" w:eastAsia="仿宋" w:cs="仿宋"/>
                <w:color w:val="auto"/>
                <w:sz w:val="24"/>
                <w:szCs w:val="24"/>
                <w:highlight w:val="none"/>
              </w:rPr>
              <w:t xml:space="preserve">分</w:t>
            </w:r>
            <w:r/>
          </w:p>
        </w:tc>
        <w:tc>
          <w:tcPr>
            <w:tcW w:w="3967" w:type="pct"/>
            <w:vAlign w:val="center"/>
            <w:textDirection w:val="lrTb"/>
            <w:noWrap/>
          </w:tcPr>
          <w:p>
            <w:pPr>
              <w:pStyle w:val="792"/>
              <w:ind w:left="0"/>
              <w:spacing w:after="0"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（1）拟任监督评估总负责人具有工程类或经济类副高级及以上技术职称得5分。（提供职称证书）</w:t>
            </w:r>
            <w:r/>
          </w:p>
          <w:p>
            <w:pPr>
              <w:pStyle w:val="792"/>
              <w:ind w:left="0"/>
              <w:spacing w:after="0"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（2）拟任监督评估负责人具有工程类或经济类中级及以上技术职称和2年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以上移民安置监督评估工作经历，每有1人得2分，最多得4分。（提供职称证书和工作经历证明）</w:t>
            </w:r>
            <w:r/>
          </w:p>
          <w:p>
            <w:pPr>
              <w:pStyle w:val="792"/>
              <w:ind w:left="0"/>
              <w:spacing w:after="0"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（3）监督评估机构人员（除拟任监督评估总负责人、监督评估负责人外）具有移民、测量（测绘）、财务、档案、工程造价等专业人员，且其具有从事移民安置相关工作1年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以上工作经历的，每有1个专业得2分，最多得6分。（提供相关证书及工作经历证明，专业以学历证书或学位证书或执业资格证书或职称证书或培训证书为准，同一人只计一次分）</w:t>
            </w:r>
            <w:r/>
          </w:p>
          <w:p>
            <w:pPr>
              <w:pStyle w:val="792"/>
              <w:ind w:left="0"/>
              <w:spacing w:after="0"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（4）除上述(1)、(2)、(3)项人员外，每增加1名移民或测量（测绘）专业人员且其具有工程类或经济类中级及以上技术职称和从事移民安置相关工作1年</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Cs w:val="24"/>
                <w:highlight w:val="none"/>
                <w:lang w:val="en-US" w:eastAsia="zh-CN"/>
              </w:rPr>
              <w:t xml:space="preserve">含</w:t>
            </w:r>
            <w:r>
              <w:rPr>
                <w:rFonts w:hint="eastAsia" w:ascii="仿宋" w:hAnsi="仿宋" w:eastAsia="仿宋" w:cs="仿宋"/>
                <w:color w:val="auto"/>
                <w:szCs w:val="24"/>
                <w:highlight w:val="none"/>
                <w:lang w:eastAsia="zh-CN"/>
              </w:rPr>
              <w:t xml:space="preserve">）</w:t>
            </w:r>
            <w:r>
              <w:rPr>
                <w:rFonts w:hint="eastAsia" w:ascii="仿宋" w:hAnsi="仿宋" w:eastAsia="仿宋" w:cs="仿宋"/>
                <w:color w:val="auto"/>
                <w:sz w:val="24"/>
                <w:szCs w:val="24"/>
                <w:highlight w:val="none"/>
                <w:lang w:val="en-US" w:eastAsia="zh-CN" w:bidi="ar-SA"/>
              </w:rPr>
              <w:t xml:space="preserve">以上工作经历的，每有1人得2分，最多得4分。（提供相关证书及工作经历证明，专业以学历证书或学位证书或执业资格证书或职称证书或培训证书为准，同一人只计一次分）</w:t>
            </w:r>
            <w:r/>
          </w:p>
          <w:p>
            <w:pPr>
              <w:pStyle w:val="792"/>
              <w:ind w:left="0"/>
              <w:spacing w:after="0" w:line="3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本项最多得19分。</w:t>
            </w:r>
            <w:r/>
          </w:p>
          <w:p>
            <w:pPr>
              <w:pStyle w:val="792"/>
              <w:ind w:left="0"/>
              <w:spacing w:after="0" w:line="380" w:lineRule="exact"/>
              <w:rPr>
                <w:rFonts w:ascii="仿宋" w:hAnsi="仿宋" w:eastAsia="仿宋" w:cs="仿宋"/>
                <w:color w:val="auto"/>
                <w:szCs w:val="24"/>
                <w:highlight w:val="none"/>
              </w:rPr>
            </w:pPr>
            <w:r>
              <w:rPr>
                <w:rFonts w:hint="eastAsia" w:ascii="仿宋" w:hAnsi="仿宋" w:eastAsia="仿宋" w:cs="仿宋"/>
                <w:color w:val="auto"/>
                <w:sz w:val="24"/>
                <w:szCs w:val="24"/>
                <w:highlight w:val="none"/>
                <w:lang w:val="en-US" w:eastAsia="zh-CN" w:bidi="ar-SA"/>
              </w:rPr>
              <w:t xml:space="preserve">注：</w:t>
            </w:r>
            <w:r>
              <w:rPr>
                <w:rFonts w:hint="default" w:ascii="仿宋" w:hAnsi="仿宋" w:eastAsia="仿宋" w:cs="仿宋"/>
                <w:color w:val="auto"/>
                <w:sz w:val="24"/>
                <w:szCs w:val="24"/>
                <w:highlight w:val="none"/>
                <w:lang w:val="en-US" w:eastAsia="zh-CN" w:bidi="ar-SA"/>
              </w:rPr>
              <w:t xml:space="preserve">①</w:t>
            </w:r>
            <w:r>
              <w:rPr>
                <w:rFonts w:hint="eastAsia" w:ascii="仿宋" w:hAnsi="仿宋" w:eastAsia="仿宋" w:cs="仿宋"/>
                <w:color w:val="auto"/>
                <w:sz w:val="24"/>
                <w:szCs w:val="24"/>
                <w:highlight w:val="none"/>
                <w:lang w:eastAsia="zh-CN"/>
              </w:rPr>
              <w:t xml:space="preserve">工作经历证明材料</w:t>
            </w:r>
            <w:r>
              <w:rPr>
                <w:rFonts w:hint="eastAsia" w:ascii="仿宋" w:hAnsi="仿宋" w:eastAsia="仿宋" w:cs="仿宋"/>
                <w:color w:val="auto"/>
                <w:sz w:val="24"/>
                <w:szCs w:val="24"/>
                <w:highlight w:val="none"/>
                <w:lang w:val="en-US" w:eastAsia="zh-CN"/>
              </w:rPr>
              <w:t xml:space="preserve">提供</w:t>
            </w:r>
            <w:r>
              <w:rPr>
                <w:rFonts w:hint="eastAsia" w:ascii="仿宋" w:hAnsi="仿宋" w:eastAsia="仿宋" w:cs="仿宋"/>
                <w:color w:val="auto"/>
                <w:sz w:val="24"/>
                <w:szCs w:val="24"/>
                <w:highlight w:val="none"/>
                <w:lang w:eastAsia="zh-CN"/>
              </w:rPr>
              <w:t xml:space="preserve">相应的业主单位出具</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履职证明，证明中需明确参加项目名称、合同签订时间及项目组成员，工作经历以合同签订时间至本项目投标截止时间的间隔计算。</w:t>
            </w:r>
            <w:r>
              <w:rPr>
                <w:rFonts w:hint="default" w:ascii="仿宋" w:hAnsi="仿宋" w:eastAsia="仿宋" w:cs="仿宋"/>
                <w:color w:val="auto"/>
                <w:sz w:val="24"/>
                <w:szCs w:val="24"/>
                <w:highlight w:val="none"/>
                <w:lang w:val="en-US" w:eastAsia="zh-CN" w:bidi="ar-SA"/>
              </w:rPr>
              <w:t xml:space="preserve">②</w:t>
            </w:r>
            <w:r>
              <w:rPr>
                <w:rFonts w:hint="eastAsia" w:ascii="仿宋" w:hAnsi="仿宋" w:eastAsia="仿宋" w:cs="仿宋"/>
                <w:color w:val="auto"/>
                <w:sz w:val="24"/>
                <w:szCs w:val="24"/>
                <w:highlight w:val="none"/>
                <w:lang w:val="en-US" w:eastAsia="zh-CN" w:bidi="ar-SA"/>
              </w:rPr>
              <w:t xml:space="preserve">上述人员须提供投标人2025年10月以来为其缴纳的任意1个月的社保证明材料；退休人员须提供有效的聘用合同、退休证书及本单位为其办理的投标截止时间前有效的意外伤害保险证明。</w:t>
            </w:r>
            <w:r/>
          </w:p>
        </w:tc>
      </w:tr>
      <w:tr>
        <w:trPr>
          <w:trHeight w:val="2037"/>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项目理解及工作思路</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根据投标人对本项目理解及工作思路进行评分。对项目背景、任务要求理解透彻，工作思路清晰明确，技术路线正确，得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分；理解较透彻，工作思路较清晰，技术路线基本正确，得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分；基本理解，思路不清，技术路线有缺陷，有明显不足的，得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分；没有内容不得分。</w:t>
            </w:r>
            <w:r/>
          </w:p>
        </w:tc>
      </w:tr>
      <w:tr>
        <w:trPr>
          <w:trHeight w:val="2037"/>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移民安置进度监督评估</w:t>
            </w:r>
            <w:r/>
          </w:p>
          <w:p>
            <w:pPr>
              <w:jc w:val="center"/>
              <w:spacing w:line="3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根据投标人移民安置进度监督评估服务方案进行打分。目标清晰、内容全面、程序规范、方法措施合理、依据充分，得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分；目标较清晰、内容基本全面、程序规范、方法措施欠合理、依据不够充分，得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分；目标不够清晰、内容不够全面、程序不规范、方法措施不合理、依据不充分，得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分；没有内容不得分。</w:t>
            </w:r>
            <w:r/>
          </w:p>
        </w:tc>
      </w:tr>
      <w:tr>
        <w:trPr>
          <w:trHeight w:val="2037"/>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移民安置质量监督评估</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w:t>
            </w:r>
            <w:r/>
          </w:p>
        </w:tc>
        <w:tc>
          <w:tcPr>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根据投标人移民安置质量监督评估服务方案进行打分。目标清晰、内容全面、程序规范、方法措施合理、依据充分，得</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分；目标较清晰、内容基本全面、程序规范、方法措施欠合理、依据不够充分，得</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分；目标不够清晰、内容不够全面、程序不规范、方法措施不合理、依据不充分，得</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分；没有内容不得分。</w:t>
            </w:r>
            <w:r/>
          </w:p>
        </w:tc>
      </w:tr>
      <w:tr>
        <w:trPr>
          <w:trHeight w:val="2441"/>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移民资金的拨付和使用情况监督评估</w:t>
            </w:r>
            <w:r/>
          </w:p>
        </w:tc>
        <w:tc>
          <w:tcPr>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资金的拨付和使用情况监督评估服务方案进行打分。目标清晰、内容全面、程序规范、方法措施合理、依据充分，得8分；目标较清晰、内容基本全面、程序规范、方法措施欠合理、依据不够充分，得6分；目标不够清晰、内容不够全面、程序不规范、方法措施不合理、依据不充分，得4分；没有内容不得分。</w:t>
            </w:r>
            <w:r/>
          </w:p>
        </w:tc>
      </w:tr>
      <w:tr>
        <w:trPr>
          <w:trHeight w:val="2216"/>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移民安置档案监督评估</w:t>
            </w:r>
            <w:r/>
          </w:p>
        </w:tc>
        <w:tc>
          <w:tcPr>
            <w:shd w:val="clear" w:color="auto" w:fill="auto"/>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安置档案监督评估服务方案进行打分。目标清晰、内容全面、程序规范、方法措施合理、依据充分，得10分；目标较清晰、内容基本全面、程序规范、方法措施欠合理、依据不够充分，得8分；目标不够清晰、内容不够全面、程序不规范、方法措施不合理、依据不充分，得6分；没有内容不得分。</w:t>
            </w:r>
            <w:r/>
          </w:p>
        </w:tc>
      </w:tr>
      <w:tr>
        <w:trPr>
          <w:trHeight w:val="2441"/>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移民生产生活水平恢复情况监督评估</w:t>
            </w:r>
            <w:r/>
          </w:p>
        </w:tc>
        <w:tc>
          <w:tcPr>
            <w:shd w:val="clear" w:color="auto" w:fill="auto"/>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投标人移民生产生活水平恢复情况监督评估服务方案进行打分。目标清晰、内容全面、程序规范、方法措施合理、依据充分，得8分；目标较清晰、内容基本全面、程序规范、方法措施欠合理、依据不够充分，得6分；目标不够清晰、内容不够全面、程序不规范、方法措施不合理、依据不充分，得4分；没有内容不得分。</w:t>
            </w:r>
            <w:r/>
          </w:p>
        </w:tc>
      </w:tr>
      <w:tr>
        <w:trPr>
          <w:trHeight w:val="2056"/>
        </w:trPr>
        <w:tc>
          <w:tcPr>
            <w:tcW w:w="491"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监督评估工作重难点分析</w:t>
            </w:r>
            <w:r/>
          </w:p>
          <w:p>
            <w:pPr>
              <w:jc w:val="center"/>
              <w:spacing w:line="38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shd w:val="clear" w:color="auto" w:fill="auto"/>
            <w:tcW w:w="540" w:type="pct"/>
            <w:vAlign w:val="center"/>
            <w:textDirection w:val="lrTb"/>
            <w:noWrap/>
          </w:tcPr>
          <w:p>
            <w:pPr>
              <w:jc w:val="center"/>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w:t>
            </w:r>
            <w:r/>
          </w:p>
        </w:tc>
        <w:tc>
          <w:tcPr>
            <w:shd w:val="clear" w:color="auto" w:fill="auto"/>
            <w:tcW w:w="3967" w:type="pct"/>
            <w:vAlign w:val="center"/>
            <w:textDirection w:val="lrTb"/>
            <w:noWrap/>
          </w:tcPr>
          <w:p>
            <w:pPr>
              <w:jc w:val="left"/>
              <w:spacing w:line="3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投标人根据监督评估规程和采购需求提供项目重点难点分析。能精准提出项目中的重点、难点，重难点分析准确，应对措施及建议合理的，得</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分；重难点分析较准确，应对措施及建议较合理的，得</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分；重难点分析不准确，应对措施及建议较差，得</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分；没有内容不得分。</w:t>
            </w:r>
            <w:r/>
          </w:p>
        </w:tc>
      </w:tr>
    </w:tbl>
    <w:p>
      <w:pPr>
        <w:pStyle w:val="772"/>
        <w:numPr>
          <w:ilvl w:val="0"/>
          <w:numId w:val="0"/>
        </w:numPr>
        <w:jc w:val="left"/>
        <w:widowControl w:val="off"/>
        <w:rPr>
          <w:rFonts w:hint="default"/>
          <w:color w:val="auto"/>
          <w:highlight w:val="none"/>
          <w:lang w:val="en-US" w:eastAsia="zh-CN"/>
        </w:rPr>
      </w:pPr>
      <w:r>
        <w:rPr>
          <w:rFonts w:hint="default"/>
          <w:color w:val="auto"/>
          <w:highlight w:val="none"/>
          <w:lang w:val="en-US" w:eastAsia="zh-CN"/>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bookmarkEnd w:id="113"/>
      <w:r/>
      <w:r/>
    </w:p>
    <w:p>
      <w:pPr>
        <w:rPr>
          <w:rFonts w:ascii="仿宋" w:hAnsi="仿宋" w:eastAsia="仿宋" w:cs="仿宋"/>
          <w:color w:val="auto"/>
          <w:sz w:val="20"/>
          <w:highlight w:val="none"/>
        </w:rPr>
      </w:pPr>
      <w:r>
        <w:rPr>
          <w:rFonts w:ascii="仿宋" w:hAnsi="仿宋" w:eastAsia="仿宋" w:cs="仿宋"/>
          <w:color w:val="auto"/>
          <w:sz w:val="20"/>
          <w:highlight w:val="none"/>
        </w:rPr>
      </w:r>
      <w:r/>
    </w:p>
    <w:p>
      <w:pPr>
        <w:spacing w:line="360" w:lineRule="auto"/>
        <w:rPr>
          <w:rFonts w:ascii="仿宋" w:hAnsi="仿宋" w:eastAsia="仿宋" w:cs="仿宋"/>
          <w:b/>
          <w:bCs/>
          <w:color w:val="auto"/>
          <w:sz w:val="28"/>
          <w:szCs w:val="28"/>
          <w:highlight w:val="none"/>
        </w:rPr>
        <w:outlineLvl w:val="1"/>
      </w:pPr>
      <w:r/>
      <w:bookmarkStart w:id="143" w:name="_Toc25742"/>
      <w:r>
        <w:rPr>
          <w:rFonts w:hint="eastAsia" w:ascii="仿宋" w:hAnsi="仿宋" w:eastAsia="仿宋" w:cs="仿宋"/>
          <w:b/>
          <w:bCs/>
          <w:color w:val="auto"/>
          <w:sz w:val="28"/>
          <w:szCs w:val="28"/>
          <w:highlight w:val="none"/>
        </w:rPr>
        <w:t xml:space="preserve">五、评标结果</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评标委员会按照本办法规定推荐中标候选人，并形成评标报告。</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883"/>
        <w:spacing w:line="360" w:lineRule="auto"/>
        <w:rPr>
          <w:rFonts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jc w:val="center"/>
        <w:spacing w:line="360" w:lineRule="auto"/>
        <w:rPr>
          <w:rFonts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w:t>
      </w:r>
      <w:bookmarkEnd w:id="114"/>
      <w:r>
        <w:rPr>
          <w:rFonts w:hint="eastAsia" w:ascii="仿宋" w:hAnsi="仿宋" w:eastAsia="仿宋" w:cs="仿宋"/>
          <w:b/>
          <w:bCs/>
          <w:color w:val="auto"/>
          <w:sz w:val="44"/>
          <w:szCs w:val="44"/>
          <w:highlight w:val="none"/>
        </w:rPr>
        <w:t xml:space="preserve">四章  采购需求</w:t>
      </w:r>
      <w:bookmarkEnd w:id="115"/>
      <w:r/>
      <w:bookmarkEnd w:id="116"/>
      <w:r/>
      <w:bookmarkEnd w:id="117"/>
      <w:r/>
      <w:bookmarkEnd w:id="143"/>
      <w:r/>
      <w:r/>
    </w:p>
    <w:p>
      <w:pPr>
        <w:spacing w:line="500" w:lineRule="exact"/>
        <w:rPr>
          <w:rFonts w:ascii="仿宋" w:hAnsi="仿宋" w:eastAsia="仿宋" w:cs="仿宋"/>
          <w:b/>
          <w:color w:val="auto"/>
          <w:sz w:val="28"/>
          <w:szCs w:val="28"/>
          <w:highlight w:val="none"/>
        </w:rPr>
      </w:pPr>
      <w:r/>
      <w:bookmarkStart w:id="144" w:name="_Toc49090575"/>
      <w:r/>
      <w:bookmarkStart w:id="145" w:name="_Toc26554093"/>
      <w:r>
        <w:rPr>
          <w:rFonts w:hint="eastAsia" w:ascii="仿宋" w:hAnsi="仿宋" w:eastAsia="仿宋" w:cs="仿宋"/>
          <w:b/>
          <w:color w:val="auto"/>
          <w:sz w:val="28"/>
          <w:szCs w:val="28"/>
          <w:highlight w:val="none"/>
        </w:rPr>
        <w:t xml:space="preserve">采购标的清单</w:t>
      </w:r>
      <w:r/>
    </w:p>
    <w:tbl>
      <w:tblPr>
        <w:tblStyle w:val="771"/>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792"/>
        <w:gridCol w:w="4281"/>
        <w:gridCol w:w="2340"/>
      </w:tblGrid>
      <w:tr>
        <w:trPr>
          <w:cantSplit/>
          <w:jc w:val="center"/>
        </w:trPr>
        <w:tc>
          <w:tcPr>
            <w:tcW w:w="1240" w:type="dxa"/>
            <w:vAlign w:val="center"/>
            <w:textDirection w:val="lrTb"/>
            <w:noWrap/>
          </w:tcPr>
          <w:p>
            <w:pPr>
              <w:jc w:val="center"/>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采购包</w:t>
            </w:r>
            <w:r>
              <w:rPr>
                <w:rFonts w:hint="eastAsia" w:ascii="仿宋" w:hAnsi="仿宋" w:eastAsia="仿宋" w:cs="仿宋"/>
                <w:b/>
                <w:bCs/>
                <w:color w:val="auto"/>
                <w:sz w:val="24"/>
                <w:szCs w:val="24"/>
                <w:highlight w:val="none"/>
                <w:lang w:val="en-US" w:eastAsia="zh-CN"/>
              </w:rPr>
              <w:t xml:space="preserve">号</w:t>
            </w:r>
            <w:r/>
          </w:p>
        </w:tc>
        <w:tc>
          <w:tcPr>
            <w:tcW w:w="792" w:type="dxa"/>
            <w:vAlign w:val="center"/>
            <w:textDirection w:val="lrTb"/>
            <w:noWrap/>
          </w:tcPr>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序号</w:t>
            </w:r>
            <w:r/>
          </w:p>
        </w:tc>
        <w:tc>
          <w:tcPr>
            <w:tcW w:w="4281" w:type="dxa"/>
            <w:vAlign w:val="center"/>
            <w:textDirection w:val="lrTb"/>
            <w:noWrap/>
          </w:tcPr>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采购包名称</w:t>
            </w:r>
            <w:r/>
          </w:p>
        </w:tc>
        <w:tc>
          <w:tcPr>
            <w:tcW w:w="2340" w:type="dxa"/>
            <w:vAlign w:val="center"/>
            <w:textDirection w:val="lrTb"/>
            <w:noWrap/>
          </w:tcPr>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对应中小企业</w:t>
            </w:r>
            <w:r/>
          </w:p>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划分标准所属行业</w:t>
            </w:r>
            <w:r/>
          </w:p>
        </w:tc>
      </w:tr>
      <w:tr>
        <w:trPr>
          <w:cantSplit/>
          <w:jc w:val="center"/>
          <w:trHeight w:val="291"/>
        </w:trPr>
        <w:tc>
          <w:tcPr>
            <w:shd w:val="clear" w:color="auto" w:fill="auto"/>
            <w:tcW w:w="1240" w:type="dxa"/>
            <w:vAlign w:val="center"/>
            <w:textDirection w:val="lrTb"/>
            <w:noWrap/>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包1</w:t>
            </w:r>
            <w:r/>
          </w:p>
        </w:tc>
        <w:tc>
          <w:tcPr>
            <w:shd w:val="clear" w:color="auto" w:fill="auto"/>
            <w:tcW w:w="792" w:type="dxa"/>
            <w:vAlign w:val="center"/>
            <w:textDirection w:val="lrTb"/>
            <w:noWrap/>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w:t>
            </w:r>
            <w:r/>
          </w:p>
        </w:tc>
        <w:tc>
          <w:tcPr>
            <w:shd w:val="clear" w:color="auto" w:fill="auto"/>
            <w:tcW w:w="4281" w:type="dxa"/>
            <w:textDirection w:val="lrTb"/>
            <w:noWrap/>
          </w:tcPr>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淮河干流浮山以下段行洪区调整和建设工程宿迁境内移民安置监督评估服务（溧河洼段）</w:t>
            </w:r>
            <w:r/>
          </w:p>
        </w:tc>
        <w:tc>
          <w:tcPr>
            <w:tcW w:w="2340" w:type="dxa"/>
            <w:vAlign w:val="center"/>
            <w:textDirection w:val="lrTb"/>
            <w:noWrap/>
          </w:tcPr>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其他未列明行业</w:t>
            </w:r>
            <w:r/>
          </w:p>
        </w:tc>
      </w:tr>
      <w:tr>
        <w:trPr>
          <w:cantSplit/>
          <w:jc w:val="center"/>
          <w:trHeight w:val="291"/>
        </w:trPr>
        <w:tc>
          <w:tcPr>
            <w:tcW w:w="1240" w:type="dxa"/>
            <w:vAlign w:val="center"/>
            <w:textDirection w:val="lrTb"/>
            <w:noWrap/>
          </w:tcPr>
          <w:p>
            <w:pPr>
              <w:jc w:val="cente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包</w:t>
            </w:r>
            <w:r>
              <w:rPr>
                <w:rFonts w:hint="eastAsia" w:ascii="仿宋" w:hAnsi="仿宋" w:eastAsia="仿宋" w:cs="仿宋"/>
                <w:b/>
                <w:bCs/>
                <w:color w:val="auto"/>
                <w:sz w:val="24"/>
                <w:szCs w:val="24"/>
                <w:highlight w:val="none"/>
                <w:lang w:val="en-US" w:eastAsia="zh-CN"/>
              </w:rPr>
              <w:t xml:space="preserve">2</w:t>
            </w:r>
            <w:r/>
          </w:p>
        </w:tc>
        <w:tc>
          <w:tcPr>
            <w:tcW w:w="792" w:type="dxa"/>
            <w:vAlign w:val="center"/>
            <w:textDirection w:val="lrTb"/>
            <w:noWrap/>
          </w:tcPr>
          <w:p>
            <w:pPr>
              <w:jc w:val="cente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w:t>
            </w:r>
            <w:r/>
          </w:p>
        </w:tc>
        <w:tc>
          <w:tcPr>
            <w:tcW w:w="4281" w:type="dxa"/>
            <w:textDirection w:val="lrTb"/>
            <w:noWrap/>
          </w:tcPr>
          <w:p>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淮河干流浮山以下段行洪区调整和建设工程宿迁境内移民安置监督评估服务（淮干、冯铁营引河段）</w:t>
            </w:r>
            <w:r/>
          </w:p>
        </w:tc>
        <w:tc>
          <w:tcPr>
            <w:tcW w:w="2340" w:type="dxa"/>
            <w:vAlign w:val="center"/>
            <w:textDirection w:val="lrTb"/>
            <w:noWrap/>
          </w:tcPr>
          <w:p>
            <w:pPr>
              <w:jc w:val="center"/>
              <w:spacing w:line="500" w:lineRule="exac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其他未列明行业</w:t>
            </w:r>
            <w:r/>
          </w:p>
        </w:tc>
      </w:tr>
    </w:tbl>
    <w:p>
      <w:pPr>
        <w:spacing w:line="360" w:lineRule="auto"/>
        <w:rPr>
          <w:rFonts w:ascii="仿宋" w:hAnsi="仿宋" w:eastAsia="仿宋" w:cs="仿宋"/>
          <w:b/>
          <w:bCs/>
          <w:color w:val="auto"/>
          <w:sz w:val="24"/>
          <w:szCs w:val="24"/>
          <w:highlight w:val="none"/>
        </w:rPr>
      </w:pPr>
      <w:r/>
      <w:bookmarkStart w:id="146" w:name="_Toc120614281"/>
      <w:r/>
      <w:r/>
    </w:p>
    <w:p>
      <w:pPr>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一、项目概况</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可行性研究批复的淮河干流浮山以下段行洪区调整和建设工程宿迁境内项目包括：淮河干流疏浚、溧河洼浅槽开挖、淮北大堤和溧西大堤加固、新建溧西大堤堤顶防汛道路及拆建涵闸泵站等。综合考量淮干工程、溧河洼工程相对独立，且移民安置工作量较大，拟将移民安置监督评估分为2个</w:t>
      </w:r>
      <w:r>
        <w:rPr>
          <w:rFonts w:hint="eastAsia" w:ascii="仿宋" w:hAnsi="仿宋" w:eastAsia="仿宋" w:cs="仿宋"/>
          <w:color w:val="auto"/>
          <w:sz w:val="24"/>
          <w:szCs w:val="24"/>
          <w:highlight w:val="none"/>
          <w:lang w:val="en-US" w:eastAsia="zh-CN"/>
        </w:rPr>
        <w:t xml:space="preserve">包</w:t>
      </w:r>
      <w:r>
        <w:rPr>
          <w:rFonts w:hint="eastAsia" w:ascii="仿宋" w:hAnsi="仿宋" w:eastAsia="仿宋" w:cs="仿宋"/>
          <w:color w:val="auto"/>
          <w:sz w:val="24"/>
          <w:szCs w:val="24"/>
          <w:highlight w:val="none"/>
          <w:lang w:eastAsia="zh-CN"/>
        </w:rPr>
        <w:t xml:space="preserve">，即淮干段、冯铁营引河段和溧河洼段。</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移民安置监督评估溧河洼段（包1），根据可研批复涉及永久用地11040.84亩、临时用地13361.95亩；涉及房屋、农副业设施等各类房屋面积10770.27平方米；涉及10kV以上高等级电力线路8.2km、各类通讯广电线路2.28km、各类道路36.7km等（后续以初步设计批复为准）。</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移民安置监督评估淮干、冯铁营引河段（包2），根据可研批复涉及永久用地2921.76亩、临时用地6916.88亩（包含冯铁营引河涉及我市的零星地块）；涉及居民3户、20人；涉及房屋、农副业设施等各类房屋面积3078.1平方米；涉及10kV以上高等级电力线路6.2km、各类通讯广电线路6.7km、各类道路20.41km等（后续以初步设计批复为准）。</w:t>
      </w:r>
      <w:r/>
    </w:p>
    <w:p>
      <w:pPr>
        <w:ind w:firstLine="482"/>
        <w:jc w:val="left"/>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（二）项目编号：</w:t>
      </w:r>
      <w:r>
        <w:rPr>
          <w:rFonts w:hint="eastAsia" w:ascii="仿宋" w:hAnsi="仿宋" w:eastAsia="仿宋" w:cs="仿宋"/>
          <w:color w:val="auto"/>
          <w:sz w:val="24"/>
          <w:szCs w:val="24"/>
          <w:highlight w:val="none"/>
          <w:lang w:eastAsia="zh-CN"/>
        </w:rPr>
        <w:t xml:space="preserve">JSZC-321300-SSZJ-G2026-0002</w:t>
      </w:r>
      <w:r/>
    </w:p>
    <w:p>
      <w:pPr>
        <w:ind w:firstLine="482"/>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（三）项目预算和最高投标限价如下：</w:t>
      </w:r>
      <w:r/>
    </w:p>
    <w:tbl>
      <w:tblPr>
        <w:tblStyle w:val="79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9"/>
        <w:gridCol w:w="1247"/>
        <w:gridCol w:w="3473"/>
        <w:gridCol w:w="1437"/>
        <w:gridCol w:w="2217"/>
      </w:tblGrid>
      <w:tr>
        <w:trPr/>
        <w:tc>
          <w:tcPr>
            <w:tcW w:w="57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25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采购包号</w:t>
            </w:r>
            <w:r/>
          </w:p>
        </w:tc>
        <w:tc>
          <w:tcPr>
            <w:tcW w:w="3484"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采购包名称</w:t>
            </w:r>
            <w:r/>
          </w:p>
        </w:tc>
        <w:tc>
          <w:tcPr>
            <w:tcW w:w="1440"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预算金额</w:t>
            </w:r>
            <w:r/>
          </w:p>
        </w:tc>
        <w:tc>
          <w:tcPr>
            <w:tcW w:w="2223" w:type="dxa"/>
            <w:vAlign w:val="center"/>
            <w:textDirection w:val="lrTb"/>
            <w:noWrap w:val="false"/>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最高投标限价</w:t>
            </w:r>
            <w:r/>
          </w:p>
        </w:tc>
      </w:tr>
      <w:tr>
        <w:trPr>
          <w:trHeight w:val="1215"/>
        </w:trPr>
        <w:tc>
          <w:tcPr>
            <w:shd w:val="clear" w:color="auto" w:fill="auto"/>
            <w:tcW w:w="57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w:t>
            </w:r>
            <w:r/>
          </w:p>
        </w:tc>
        <w:tc>
          <w:tcPr>
            <w:shd w:val="clear" w:color="auto" w:fill="auto"/>
            <w:tcW w:w="125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包1</w:t>
            </w:r>
            <w:r/>
          </w:p>
        </w:tc>
        <w:tc>
          <w:tcPr>
            <w:shd w:val="clear" w:color="auto" w:fill="auto"/>
            <w:tcW w:w="348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淮河干流浮山以下段行洪区调整和建设工程宿迁境内移民安置监督评估服务（溧河洼段）</w:t>
            </w:r>
            <w:r/>
          </w:p>
        </w:tc>
        <w:tc>
          <w:tcPr>
            <w:tcW w:w="144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1190万元</w:t>
            </w:r>
            <w:r/>
          </w:p>
        </w:tc>
        <w:tc>
          <w:tcPr>
            <w:tcW w:w="2223"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批复的初步设计概算中相应建设征地移民安置监督评估费的100%</w:t>
            </w:r>
            <w:r/>
          </w:p>
        </w:tc>
      </w:tr>
      <w:tr>
        <w:trPr/>
        <w:tc>
          <w:tcPr>
            <w:tcW w:w="57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2</w:t>
            </w:r>
            <w:r/>
          </w:p>
        </w:tc>
        <w:tc>
          <w:tcPr>
            <w:shd w:val="clear" w:color="auto" w:fill="auto"/>
            <w:tcW w:w="125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包2</w:t>
            </w:r>
            <w:r/>
          </w:p>
        </w:tc>
        <w:tc>
          <w:tcPr>
            <w:shd w:val="clear" w:color="auto" w:fill="auto"/>
            <w:tcW w:w="3484"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淮河干流浮山以下段行洪区调整和建设工程宿迁境内移民安置监督评估服务（淮干、</w:t>
            </w:r>
            <w:r>
              <w:rPr>
                <w:rFonts w:ascii="仿宋" w:hAnsi="仿宋" w:eastAsia="仿宋" w:cs="仿宋"/>
                <w:color w:val="auto"/>
                <w:szCs w:val="21"/>
                <w:highlight w:val="none"/>
              </w:rPr>
              <w:t xml:space="preserve">冯铁营引河</w:t>
            </w:r>
            <w:r>
              <w:rPr>
                <w:rFonts w:hint="eastAsia" w:ascii="仿宋" w:hAnsi="仿宋" w:eastAsia="仿宋" w:cs="仿宋"/>
                <w:color w:val="auto"/>
                <w:szCs w:val="21"/>
                <w:highlight w:val="none"/>
              </w:rPr>
              <w:t xml:space="preserve">段）</w:t>
            </w:r>
            <w:r/>
          </w:p>
        </w:tc>
        <w:tc>
          <w:tcPr>
            <w:tcW w:w="1440"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575万元</w:t>
            </w:r>
            <w:r/>
          </w:p>
        </w:tc>
        <w:tc>
          <w:tcPr>
            <w:shd w:val="clear" w:color="auto" w:fill="auto"/>
            <w:tcW w:w="2223" w:type="dxa"/>
            <w:vAlign w:val="center"/>
            <w:textDirection w:val="lrTb"/>
            <w:noWrap w:val="false"/>
          </w:tcPr>
          <w:p>
            <w:pPr>
              <w:jc w:val="center"/>
              <w:spacing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批复的初步设计概算中相应建设征地移民安置监督评估费的100%</w:t>
            </w:r>
            <w:r/>
          </w:p>
        </w:tc>
      </w:tr>
    </w:tbl>
    <w:p>
      <w:pPr>
        <w:ind w:firstLine="480"/>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：投标报价不得超过最高限价，超过最高限价的为无效报价，按照无效投标处理。</w:t>
      </w:r>
      <w:r/>
    </w:p>
    <w:p>
      <w:pPr>
        <w:ind w:firstLine="480"/>
        <w:jc w:val="left"/>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注2：本项目采购预算金额暂按可研批复宿迁境内征地移民监督评估费用，最终预算金额以初步设计批复为准。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（四）服务地点：采购方指定地点。</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（五）合同履约期限：自合同生效之日起，至工程通过竣工验收且完成合同约定的全部义务之日止。</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（六）质量要求：符合国家及地方的法律法规和行业规范性要求。</w:t>
      </w:r>
      <w:r/>
    </w:p>
    <w:p>
      <w:pPr>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二、服务内容及要求</w:t>
      </w:r>
      <w:r/>
    </w:p>
    <w:p>
      <w:pPr>
        <w:ind w:firstLine="480"/>
        <w:jc w:val="left"/>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（一）移民安置监督评估的主要依据有：</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（1）国家有关法律、法规、规章、政策和标准；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（2）地方有关法规、规章、政策和标准；</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（3）经批准的移民安置规划设计文件，移民安置年度计划；</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（4）项目法人与地方人民政府或其规定的移民管理机构签订的移民安置协议；</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（5）移民补偿补助类和工程建设类合同（协议）；</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（6）移民安置监督评估合同；</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（7）其他有关文件。</w:t>
      </w:r>
      <w:r/>
    </w:p>
    <w:p>
      <w:pPr>
        <w:ind w:firstLine="480"/>
        <w:jc w:val="left"/>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（二）主要服务内容</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按照《大中型水利工程移民安置监督评估管理规定》（水移民〔2025〕184号）和《水利水电工程移民安置监督评估规程》（SL/T 716-2025）开展监督评估工作，包括但不限于：</w:t>
      </w:r>
      <w:r/>
    </w:p>
    <w:p>
      <w:pPr>
        <w:pStyle w:val="77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移民安置档案监督评估：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5）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p>
    <w:p>
      <w:pPr>
        <w:pStyle w:val="772"/>
        <w:jc w:val="both"/>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（6）移民安置监督评估其他工作：包括移民安置资料和档案的收集、整理、归档、整编、验收</w:t>
      </w:r>
      <w:r>
        <w:rPr>
          <w:rFonts w:hint="eastAsia" w:ascii="仿宋" w:hAnsi="仿宋" w:eastAsia="仿宋" w:cs="仿宋"/>
          <w:color w:val="auto"/>
          <w:sz w:val="24"/>
          <w:szCs w:val="24"/>
          <w:highlight w:val="none"/>
          <w:lang w:val="en-US" w:eastAsia="zh-CN"/>
        </w:rPr>
        <w:t xml:space="preserve">、信息化建设和应用</w:t>
      </w:r>
      <w:r>
        <w:rPr>
          <w:rFonts w:hint="eastAsia" w:ascii="仿宋" w:hAnsi="仿宋" w:eastAsia="仿宋" w:cs="仿宋"/>
          <w:color w:val="auto"/>
          <w:sz w:val="24"/>
          <w:szCs w:val="24"/>
          <w:highlight w:val="none"/>
          <w:lang w:eastAsia="zh-CN"/>
        </w:rPr>
        <w:t xml:space="preserve">等工作；协助有关单位编制移民验收（自验、初验、终验）工作计划、方案、报告及统一性检查等；</w:t>
      </w:r>
      <w:r>
        <w:rPr>
          <w:rFonts w:hint="eastAsia" w:ascii="仿宋" w:hAnsi="仿宋" w:eastAsia="仿宋" w:cs="仿宋"/>
          <w:color w:val="auto"/>
          <w:sz w:val="24"/>
          <w:szCs w:val="24"/>
          <w:highlight w:val="none"/>
          <w:lang w:val="en-US" w:eastAsia="zh-CN"/>
        </w:rPr>
        <w:t xml:space="preserve">根据《水利水电工程移民安置监督评估规程》有关规定，开发应用移民监督评估信息化平台，归集征迁补偿标准、征迁实物量、资金、档案资料等移民监督全流程数据，在信息化平台基础上融入AI智能算法，</w:t>
      </w:r>
      <w:r>
        <w:rPr>
          <w:rFonts w:hint="eastAsia" w:ascii="仿宋" w:hAnsi="仿宋" w:eastAsia="仿宋" w:cs="仿宋"/>
          <w:color w:val="auto"/>
          <w:sz w:val="24"/>
          <w:szCs w:val="24"/>
          <w:highlight w:val="none"/>
          <w:lang w:eastAsia="zh-CN"/>
        </w:rPr>
        <w:t xml:space="preserve">具备无人机航测等数据AI智能解译能力，自动识别、量算、分类征地红线内土地利用类型、各类征迁实物量指标，对比批复内容识别建立各项征迁指标变动差异台账，辅助现场复核，</w:t>
      </w:r>
      <w:r>
        <w:rPr>
          <w:rFonts w:hint="eastAsia" w:ascii="仿宋" w:hAnsi="仿宋" w:eastAsia="仿宋" w:cs="仿宋"/>
          <w:color w:val="auto"/>
          <w:sz w:val="24"/>
          <w:szCs w:val="24"/>
          <w:highlight w:val="none"/>
          <w:lang w:val="en-US" w:eastAsia="zh-CN"/>
        </w:rPr>
        <w:t xml:space="preserve">实现移民安置相关指标趋势预测，</w:t>
      </w:r>
      <w:r>
        <w:rPr>
          <w:rFonts w:hint="eastAsia" w:ascii="仿宋" w:hAnsi="仿宋" w:eastAsia="仿宋" w:cs="仿宋"/>
          <w:color w:val="auto"/>
          <w:sz w:val="24"/>
          <w:szCs w:val="24"/>
          <w:highlight w:val="none"/>
          <w:lang w:eastAsia="zh-CN"/>
        </w:rPr>
        <w:t xml:space="preserve">具备移民征迁监督档案台账一键检索、精准调取等功能，</w:t>
      </w:r>
      <w:r>
        <w:rPr>
          <w:rFonts w:hint="eastAsia" w:ascii="仿宋" w:hAnsi="仿宋" w:eastAsia="仿宋" w:cs="仿宋"/>
          <w:color w:val="auto"/>
          <w:sz w:val="24"/>
          <w:szCs w:val="24"/>
          <w:highlight w:val="none"/>
          <w:lang w:val="en-US" w:eastAsia="zh-CN"/>
        </w:rPr>
        <w:t xml:space="preserve">并</w:t>
      </w:r>
      <w:r>
        <w:rPr>
          <w:rFonts w:hint="eastAsia" w:ascii="仿宋" w:hAnsi="仿宋" w:eastAsia="仿宋" w:cs="仿宋"/>
          <w:color w:val="auto"/>
          <w:sz w:val="24"/>
          <w:szCs w:val="24"/>
          <w:highlight w:val="none"/>
          <w:lang w:eastAsia="zh-CN"/>
        </w:rPr>
        <w:t xml:space="preserve">提供移民监督评估全过程信息化平台和AI应用的技术总结和研发成果，信息化平台和AI智能算法、网络安全等级保护等满足相关要求，预留同其他信息化平台对接接口；以及至工程通过竣工验收前涉及移民安置监督评估的相关工作。</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采购包1中标单位负责牵头淮河干流浮山以下段行洪区调整和建设工程宿迁境内移民安置监督评估服务项目，包括移民安置专项验收总结报告、移民安置规划调整报告（牵头汇总）、移民安置档案整理归档、移民安置资料整合汇总以及采购人明确的涉及移民监督评估的相关牵头事项。采购包2中标单位应予配合。</w:t>
      </w:r>
      <w:r/>
    </w:p>
    <w:p>
      <w:pPr>
        <w:ind w:firstLine="480"/>
        <w:spacing w:line="360" w:lineRule="auto"/>
        <w:rPr>
          <w:rFonts w:hint="default" w:ascii="仿宋" w:hAnsi="仿宋" w:eastAsia="仿宋" w:cs="仿宋"/>
          <w:color w:val="auto"/>
          <w:sz w:val="24"/>
          <w:szCs w:val="24"/>
          <w:highlight w:val="none"/>
          <w:lang w:val="en-US" w:eastAsia="zh-CN"/>
        </w:rPr>
        <w:outlineLvl w:val="1"/>
      </w:pPr>
      <w:r>
        <w:rPr>
          <w:rFonts w:hint="eastAsia" w:ascii="仿宋" w:hAnsi="仿宋" w:eastAsia="仿宋" w:cs="仿宋"/>
          <w:color w:val="auto"/>
          <w:sz w:val="24"/>
          <w:szCs w:val="24"/>
          <w:highlight w:val="none"/>
          <w:lang w:eastAsia="zh-CN"/>
        </w:rPr>
        <w:t xml:space="preserve">采购包1中标单位负责</w:t>
      </w:r>
      <w:r>
        <w:rPr>
          <w:rFonts w:hint="eastAsia" w:ascii="仿宋" w:hAnsi="仿宋" w:eastAsia="仿宋" w:cs="仿宋"/>
          <w:color w:val="auto"/>
          <w:sz w:val="24"/>
          <w:szCs w:val="24"/>
          <w:highlight w:val="none"/>
          <w:lang w:val="en-US" w:eastAsia="zh-CN"/>
        </w:rPr>
        <w:t xml:space="preserve">信息化平台和AI应用开发，</w:t>
      </w:r>
      <w:r>
        <w:rPr>
          <w:rFonts w:hint="eastAsia" w:ascii="仿宋" w:hAnsi="仿宋" w:eastAsia="仿宋" w:cs="仿宋"/>
          <w:color w:val="auto"/>
          <w:sz w:val="24"/>
          <w:szCs w:val="24"/>
          <w:highlight w:val="none"/>
          <w:lang w:eastAsia="zh-CN"/>
        </w:rPr>
        <w:t xml:space="preserve">采购包</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中标单位</w:t>
      </w:r>
      <w:r>
        <w:rPr>
          <w:rFonts w:hint="eastAsia" w:ascii="仿宋" w:hAnsi="仿宋" w:eastAsia="仿宋" w:cs="仿宋"/>
          <w:color w:val="auto"/>
          <w:sz w:val="24"/>
          <w:szCs w:val="24"/>
          <w:highlight w:val="none"/>
          <w:lang w:val="en-US" w:eastAsia="zh-CN"/>
        </w:rPr>
        <w:t xml:space="preserve">应提供</w:t>
      </w:r>
      <w:r>
        <w:rPr>
          <w:rFonts w:hint="eastAsia" w:ascii="仿宋" w:hAnsi="仿宋" w:eastAsia="仿宋" w:cs="仿宋"/>
          <w:color w:val="auto"/>
          <w:sz w:val="24"/>
          <w:szCs w:val="24"/>
          <w:highlight w:val="none"/>
          <w:lang w:eastAsia="zh-CN"/>
        </w:rPr>
        <w:t xml:space="preserve">数据资料，满足信息化</w:t>
      </w:r>
      <w:r>
        <w:rPr>
          <w:rFonts w:hint="eastAsia" w:ascii="仿宋" w:hAnsi="仿宋" w:eastAsia="仿宋" w:cs="仿宋"/>
          <w:color w:val="auto"/>
          <w:sz w:val="24"/>
          <w:szCs w:val="24"/>
          <w:highlight w:val="none"/>
          <w:lang w:val="en-US" w:eastAsia="zh-CN"/>
        </w:rPr>
        <w:t xml:space="preserve">平台</w:t>
      </w:r>
      <w:r>
        <w:rPr>
          <w:rFonts w:hint="eastAsia" w:ascii="仿宋" w:hAnsi="仿宋" w:eastAsia="仿宋" w:cs="仿宋"/>
          <w:color w:val="auto"/>
          <w:sz w:val="24"/>
          <w:szCs w:val="24"/>
          <w:highlight w:val="none"/>
          <w:lang w:eastAsia="zh-CN"/>
        </w:rPr>
        <w:t xml:space="preserve">和</w:t>
      </w:r>
      <w:r>
        <w:rPr>
          <w:rFonts w:hint="eastAsia" w:ascii="仿宋" w:hAnsi="仿宋" w:eastAsia="仿宋" w:cs="仿宋"/>
          <w:color w:val="auto"/>
          <w:sz w:val="24"/>
          <w:szCs w:val="24"/>
          <w:highlight w:val="none"/>
          <w:lang w:val="en-US" w:eastAsia="zh-CN"/>
        </w:rPr>
        <w:t xml:space="preserve">AI应用</w:t>
      </w:r>
      <w:r>
        <w:rPr>
          <w:rFonts w:hint="eastAsia" w:ascii="仿宋" w:hAnsi="仿宋" w:eastAsia="仿宋" w:cs="仿宋"/>
          <w:color w:val="auto"/>
          <w:sz w:val="24"/>
          <w:szCs w:val="24"/>
          <w:highlight w:val="none"/>
          <w:lang w:eastAsia="zh-CN"/>
        </w:rPr>
        <w:t xml:space="preserve">的要求。</w:t>
      </w:r>
      <w:r/>
    </w:p>
    <w:p>
      <w:pPr>
        <w:spacing w:line="360" w:lineRule="auto"/>
        <w:rPr>
          <w:rFonts w:ascii="仿宋" w:hAnsi="仿宋" w:eastAsia="仿宋" w:cs="仿宋"/>
          <w:color w:val="auto"/>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三、付款方式</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1、合同签订后支付合同价款的30%作为预付款（提供预付款保函）；</w:t>
      </w:r>
      <w:r/>
    </w:p>
    <w:p>
      <w:pPr>
        <w:ind w:firstLine="480"/>
        <w:spacing w:line="360" w:lineRule="auto"/>
        <w:widowControl/>
        <w:rPr>
          <w:rFonts w:hint="eastAsia"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根据监督评估工作总体完成进度按年度进行支付，第二年支付至合同价款的40%（含预付款），第三年支付至合同价款的60%；通过移民安置自验后支付至合同价款的80%；完成监督评估服务全部工作并通过移民专项验收（终验）后支付至合同价款的100%。</w:t>
      </w:r>
      <w:r/>
    </w:p>
    <w:p>
      <w:pPr>
        <w:ind w:firstLine="48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注：1.在签订合同时，中标人明确表示无需预付款或者主动要求降低预付款比例的金额，采购人可不适用预付款规定；</w:t>
      </w:r>
      <w:r/>
    </w:p>
    <w:p>
      <w:pPr>
        <w:numPr>
          <w:ilvl w:val="0"/>
          <w:numId w:val="0"/>
        </w:numPr>
        <w:ind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因本项目为费率招标、且合同签订时初步设计尚未批复，预付款时批复的初步设计概算中相应建设征地移民安置监督评估费暂按包1人民币800万元、包2人民币400万元计算。</w:t>
      </w:r>
      <w:r/>
    </w:p>
    <w:p>
      <w:pPr>
        <w:numPr>
          <w:ilvl w:val="0"/>
          <w:numId w:val="0"/>
        </w:numPr>
        <w:ind w:left="0" w:firstLine="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rPr>
        <w:t xml:space="preserve">因本工程建设需要，另增加的监督评估工作，不增加监督评估费。</w:t>
      </w:r>
      <w:r/>
    </w:p>
    <w:p>
      <w:pPr>
        <w:numPr>
          <w:ilvl w:val="0"/>
          <w:numId w:val="0"/>
        </w:numPr>
        <w:ind w:left="0"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4.因监督评估单位原因而造成暂停或终止监督评估业务，其善后工作及恢复监督评估业务的工作发生的费用，由监督评估单位承担。</w:t>
      </w:r>
      <w:r/>
    </w:p>
    <w:p>
      <w:pPr>
        <w:pStyle w:val="772"/>
        <w:rPr>
          <w:color w:val="auto"/>
          <w:highlight w:val="none"/>
        </w:rPr>
      </w:pPr>
      <w:r>
        <w:rPr>
          <w:color w:val="auto"/>
          <w:highlight w:val="none"/>
        </w:rPr>
      </w:r>
      <w:r/>
    </w:p>
    <w:p>
      <w:pPr>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四、验收</w:t>
      </w:r>
      <w:r/>
    </w:p>
    <w:p>
      <w:pPr>
        <w:ind w:firstLine="482"/>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在中标人交付最终成果后，采购人根据要求组织验收，验收内容包括成果和本合同提出的技术要求。中标人应对成果的不足负责，并承担由此引起的一切后果。</w:t>
      </w:r>
      <w:r/>
    </w:p>
    <w:p>
      <w:pPr>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五、其他要求</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1.中标单位工作人员在岗履行职责期间(包括上下班途中)，发生自身的人身伤害、伤亡，均由中标单位负责处理并承担经济和责任，采购方不承担任何责任。</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2.在合同期内，因中标单位原因，所造成的直接经济损失由中标单位按实际金额赔偿。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3.因中标单位管理不善，造成工作范围内的设施、设备等损坏的，由中标单位赔偿，采购单位有权要求中标单位负责赔偿损失，情节严重的可终止合同甚至诉诸法律。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4.本项目派驻现场人员要求为：采购包1项目组成员不少于8人；采购包2项目组成员不少于6人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项目组成员包括监督评估总负责人、监督评估负责人和监督评估其他人员</w:t>
      </w:r>
      <w:r>
        <w:rPr>
          <w:rFonts w:hint="eastAsia" w:ascii="仿宋" w:hAnsi="仿宋" w:eastAsia="仿宋" w:cs="仿宋"/>
          <w:color w:val="auto"/>
          <w:sz w:val="24"/>
          <w:szCs w:val="24"/>
          <w:highlight w:val="none"/>
          <w:lang w:eastAsia="zh-CN"/>
        </w:rPr>
        <w:t xml:space="preserve">）</w:t>
      </w:r>
      <w:r/>
    </w:p>
    <w:p>
      <w:pPr>
        <w:ind w:firstLine="482"/>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中标单位应按投标约定的人员、数量、服务时限及经采购人批准的人员进场计划履约。</w:t>
      </w:r>
      <w:r>
        <w:rPr>
          <w:rFonts w:hint="eastAsia" w:ascii="仿宋" w:hAnsi="仿宋" w:eastAsia="仿宋" w:cs="仿宋"/>
          <w:color w:val="auto"/>
          <w:sz w:val="24"/>
          <w:szCs w:val="24"/>
          <w:highlight w:val="none"/>
        </w:rPr>
        <w:t xml:space="preserve">监督评估总负责人、监督评估负责人和监督评估其他人员</w:t>
      </w:r>
      <w:r>
        <w:rPr>
          <w:rFonts w:hint="eastAsia" w:ascii="仿宋" w:hAnsi="仿宋" w:eastAsia="仿宋" w:cs="仿宋"/>
          <w:b/>
          <w:bCs/>
          <w:color w:val="auto"/>
          <w:sz w:val="24"/>
          <w:szCs w:val="24"/>
          <w:highlight w:val="none"/>
        </w:rPr>
        <w:t xml:space="preserve">与投标文件中承诺的一致，原则上不得更换，如确需变动，须书面提请委托人批准（除不可抗力外，更换监督评估总负责人的缴纳违约金5</w:t>
      </w:r>
      <w:r>
        <w:rPr>
          <w:rFonts w:ascii="仿宋" w:hAnsi="仿宋" w:eastAsia="仿宋" w:cs="仿宋"/>
          <w:b/>
          <w:bCs/>
          <w:color w:val="auto"/>
          <w:sz w:val="24"/>
          <w:szCs w:val="24"/>
          <w:highlight w:val="none"/>
        </w:rPr>
        <w:t xml:space="preserve">0</w:t>
      </w:r>
      <w:r>
        <w:rPr>
          <w:rFonts w:hint="eastAsia" w:ascii="仿宋" w:hAnsi="仿宋" w:eastAsia="仿宋" w:cs="仿宋"/>
          <w:b/>
          <w:bCs/>
          <w:color w:val="auto"/>
          <w:sz w:val="24"/>
          <w:szCs w:val="24"/>
          <w:highlight w:val="none"/>
        </w:rPr>
        <w:t xml:space="preserve">万元，更换监督评估负责人的缴纳违约金10万元</w:t>
      </w:r>
      <w:r>
        <w:rPr>
          <w:rFonts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人，更换监督评估技术员的缴纳违约金2万元</w:t>
      </w:r>
      <w:r>
        <w:rPr>
          <w:rFonts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人，违约金在监督评估费支付中扣除）。</w:t>
      </w:r>
      <w:r/>
    </w:p>
    <w:p>
      <w:pPr>
        <w:ind w:firstLine="480"/>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5.合同签订后，驻工人员需全部到位并接受考勤，工作期间在项目所在地设立固定的办公场所。施工红线范围内移民安置监督评估任务完成前所有人员每月驻工不少于22天，监督评估总负责人每少一天扣除违约金20</w:t>
      </w:r>
      <w:r>
        <w:rPr>
          <w:rFonts w:ascii="仿宋" w:hAnsi="仿宋" w:eastAsia="仿宋" w:cs="仿宋"/>
          <w:b/>
          <w:bCs/>
          <w:color w:val="auto"/>
          <w:sz w:val="24"/>
          <w:szCs w:val="24"/>
          <w:highlight w:val="none"/>
        </w:rPr>
        <w:t xml:space="preserve">00</w:t>
      </w:r>
      <w:r>
        <w:rPr>
          <w:rFonts w:hint="eastAsia" w:ascii="仿宋" w:hAnsi="仿宋" w:eastAsia="仿宋" w:cs="仿宋"/>
          <w:b/>
          <w:bCs/>
          <w:color w:val="auto"/>
          <w:sz w:val="24"/>
          <w:szCs w:val="24"/>
          <w:highlight w:val="none"/>
        </w:rPr>
        <w:t xml:space="preserve">元，监督评估负责人、监督评估其他人员每少一天扣除违约金10</w:t>
      </w:r>
      <w:r>
        <w:rPr>
          <w:rFonts w:ascii="仿宋" w:hAnsi="仿宋" w:eastAsia="仿宋" w:cs="仿宋"/>
          <w:b/>
          <w:bCs/>
          <w:color w:val="auto"/>
          <w:sz w:val="24"/>
          <w:szCs w:val="24"/>
          <w:highlight w:val="none"/>
        </w:rPr>
        <w:t xml:space="preserve">00</w:t>
      </w:r>
      <w:r>
        <w:rPr>
          <w:rFonts w:hint="eastAsia" w:ascii="仿宋" w:hAnsi="仿宋" w:eastAsia="仿宋" w:cs="仿宋"/>
          <w:b/>
          <w:bCs/>
          <w:color w:val="auto"/>
          <w:sz w:val="24"/>
          <w:szCs w:val="24"/>
          <w:highlight w:val="none"/>
        </w:rPr>
        <w:t xml:space="preserve">元</w:t>
      </w:r>
      <w:r>
        <w:rPr>
          <w:rFonts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人，扣除的违约金总额不超过合同价10%。</w:t>
      </w:r>
      <w:r/>
    </w:p>
    <w:p>
      <w:pPr>
        <w:pStyle w:val="982"/>
        <w:ind w:firstLine="482"/>
        <w:spacing w:line="360" w:lineRule="auto"/>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rPr>
        <w:t xml:space="preserve">6.移民安置监督评估中标单位签订合同后10天内，编制上报监督评估总进度计划和分年度任务等</w:t>
      </w:r>
      <w:r>
        <w:rPr>
          <w:rFonts w:hint="eastAsia" w:ascii="仿宋" w:hAnsi="仿宋" w:eastAsia="仿宋" w:cs="仿宋"/>
          <w:b/>
          <w:bCs/>
          <w:color w:val="auto"/>
          <w:sz w:val="24"/>
          <w:szCs w:val="24"/>
          <w:highlight w:val="none"/>
          <w:lang w:val="en-US" w:eastAsia="zh-CN" w:bidi="ar-SA"/>
        </w:rPr>
        <w:t xml:space="preserve">。</w:t>
      </w:r>
      <w:r/>
    </w:p>
    <w:p>
      <w:pPr>
        <w:pStyle w:val="982"/>
        <w:ind w:firstLine="482"/>
        <w:spacing w:line="360" w:lineRule="auto"/>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7.采购包1移民安置监督评估中标单位签订合同后30天内编制上报信息化平台和AI应用设计方案，设计方案须通过采购人组织专家评审</w:t>
      </w:r>
      <w:r>
        <w:rPr>
          <w:rFonts w:hint="eastAsia" w:ascii="仿宋" w:hAnsi="仿宋" w:eastAsia="仿宋" w:cs="仿宋"/>
          <w:b/>
          <w:bCs/>
          <w:color w:val="auto"/>
          <w:sz w:val="24"/>
          <w:szCs w:val="24"/>
          <w:highlight w:val="none"/>
        </w:rPr>
        <w:t xml:space="preserve">。</w:t>
      </w:r>
      <w:r/>
    </w:p>
    <w:p>
      <w:pPr>
        <w:pStyle w:val="983"/>
        <w:rPr>
          <w:color w:val="auto"/>
          <w:highlight w:val="none"/>
        </w:rPr>
      </w:pPr>
      <w:r>
        <w:rPr>
          <w:color w:val="auto"/>
          <w:highlight w:val="none"/>
        </w:rPr>
      </w:r>
      <w:r/>
    </w:p>
    <w:p>
      <w:pPr>
        <w:pStyle w:val="982"/>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.项目实施要求：投标人应根据本项目的服务内容及要求，编制各项工作实施方案。</w:t>
      </w:r>
      <w:r/>
    </w:p>
    <w:p>
      <w:pPr>
        <w:ind w:firstLine="480"/>
        <w:spacing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9. 采购包1中标单位对本项目中信息化平台和AI应用相关的研究成果进行总结，知识产权归采购人所有。采购包1中标单位计划申报与本项目相关的论文、著作、专利、软著等知识产权时，需提前15个工作日将论文初稿提交采购人审核，经采购人确认无涉密内容、无损害项目利益后，方可发表；未经审核擅自发表的，采购包1中标单位需承担相应违约责任。</w:t>
      </w:r>
      <w:r/>
    </w:p>
    <w:p>
      <w:pPr>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shd w:val="clear" w:color="auto" w:fill="ffffff"/>
        </w:rPr>
        <w:t xml:space="preserve">★</w:t>
      </w:r>
      <w:r>
        <w:rPr>
          <w:rFonts w:hint="eastAsia" w:ascii="仿宋" w:hAnsi="仿宋" w:eastAsia="仿宋" w:cs="仿宋"/>
          <w:b/>
          <w:bCs/>
          <w:color w:val="auto"/>
          <w:sz w:val="24"/>
          <w:szCs w:val="24"/>
          <w:highlight w:val="none"/>
        </w:rPr>
        <w:t xml:space="preserve">六、特别说明</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1.服务成果的版权归采购人所有；采购人有权公开展示服务成果，并通过传播、媒介、专业杂志、书刊或其他形式介绍服务成果。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2.投标单位应充分考虑所有可能影响到报价的价格及政策等风险因素，一旦中标，服务总价将包定，一律不予调整。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3.投标单位的任何错漏、优惠、竞争性报价不得作为减轻责任、减少服务、增加收费、降低质量的理由。</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单位报价除包含采购文件中列明的项目外还应包括保障服务正常运行应当具有的物资和服务，如：生活办公场地、设备设施、交通工具等用于实施建设征地移民安置及监督评估工作经费和移民验收技术服务费，以及涉及本工程移民安置实物复核、监督评估、专项验收等直至工程竣工验收为止所有相关工作过程中产生的一切费用。</w:t>
      </w:r>
      <w:r/>
    </w:p>
    <w:p>
      <w:pPr>
        <w:ind w:firstLine="480"/>
        <w:spacing w:line="360" w:lineRule="auto"/>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ind w:firstLine="482"/>
        <w:spacing w:line="360" w:lineRule="auto"/>
        <w:rPr>
          <w:rFonts w:ascii="仿宋" w:hAnsi="仿宋" w:eastAsia="仿宋" w:cs="仿宋"/>
          <w:bCs/>
          <w:color w:val="auto"/>
          <w:sz w:val="44"/>
          <w:highlight w:val="none"/>
        </w:rPr>
      </w:pPr>
      <w:r>
        <w:rPr>
          <w:rFonts w:hint="eastAsia" w:ascii="仿宋" w:hAnsi="仿宋" w:eastAsia="仿宋" w:cs="仿宋"/>
          <w:b/>
          <w:color w:val="auto"/>
          <w:sz w:val="24"/>
          <w:szCs w:val="24"/>
          <w:highlight w:val="none"/>
        </w:rPr>
        <w:t xml:space="preserve">注：招标文件中“第四章 采购需求”标注 “★” 部分为实质性要求，不接受任何形式负偏离（包括但不限于条款内容删减、条件弱化、标准降低等）；同时投标人须在投标文件中提交针对本项目实质性要求的履约承诺函（承诺满足所有标注★部分的实质性要求）并加盖公章，否则作无效标处理。具体格式详见第六章 “投标文件格式”。</w:t>
      </w:r>
      <w:r>
        <w:rPr>
          <w:rFonts w:hint="eastAsia" w:ascii="仿宋" w:hAnsi="仿宋" w:eastAsia="仿宋" w:cs="仿宋"/>
          <w:bCs/>
          <w:color w:val="auto"/>
          <w:sz w:val="44"/>
          <w:highlight w:val="none"/>
        </w:rPr>
        <w:br w:type="page" w:clear="all"/>
      </w:r>
      <w:r/>
    </w:p>
    <w:p>
      <w:pPr>
        <w:jc w:val="center"/>
        <w:spacing w:line="360" w:lineRule="auto"/>
        <w:rPr>
          <w:rFonts w:ascii="仿宋" w:hAnsi="仿宋" w:eastAsia="仿宋" w:cs="仿宋"/>
          <w:b/>
          <w:bCs/>
          <w:color w:val="auto"/>
          <w:sz w:val="44"/>
          <w:szCs w:val="44"/>
          <w:highlight w:val="none"/>
        </w:rPr>
        <w:outlineLvl w:val="0"/>
      </w:pPr>
      <w:r/>
      <w:bookmarkStart w:id="147" w:name="_Toc23929"/>
      <w:r/>
      <w:bookmarkStart w:id="148" w:name="_Toc4284"/>
      <w:r/>
      <w:bookmarkStart w:id="149" w:name="_Toc15797"/>
      <w:r>
        <w:rPr>
          <w:rFonts w:hint="eastAsia" w:ascii="仿宋" w:hAnsi="仿宋" w:eastAsia="仿宋" w:cs="仿宋"/>
          <w:b/>
          <w:bCs/>
          <w:color w:val="auto"/>
          <w:sz w:val="44"/>
          <w:szCs w:val="44"/>
          <w:highlight w:val="none"/>
        </w:rPr>
        <w:t xml:space="preserve">第五章  合同文本</w:t>
      </w:r>
      <w:bookmarkEnd w:id="147"/>
      <w:r/>
      <w:bookmarkEnd w:id="148"/>
      <w:r/>
      <w:bookmarkEnd w:id="149"/>
      <w:r/>
      <w:r/>
    </w:p>
    <w:p>
      <w:pPr>
        <w:jc w:val="center"/>
        <w:spacing w:after="200"/>
        <w:rPr>
          <w:rFonts w:ascii="仿宋" w:hAnsi="仿宋" w:eastAsia="仿宋" w:cs="仿宋"/>
          <w:b/>
          <w:color w:val="auto"/>
          <w:sz w:val="72"/>
          <w:szCs w:val="72"/>
          <w:highlight w:val="none"/>
        </w:rPr>
      </w:pPr>
      <w:r/>
      <w:bookmarkStart w:id="150" w:name="_Toc20823315"/>
      <w:r/>
      <w:bookmarkEnd w:id="150"/>
      <w:r/>
      <w:bookmarkStart w:id="151" w:name="_Toc513029243"/>
      <w:r/>
      <w:bookmarkEnd w:id="151"/>
      <w:r/>
      <w:bookmarkStart w:id="152" w:name="_Toc16938559"/>
      <w:r/>
      <w:bookmarkEnd w:id="152"/>
      <w:r/>
      <w:r/>
    </w:p>
    <w:p>
      <w:pPr>
        <w:jc w:val="center"/>
        <w:spacing w:after="200"/>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rPr>
        <w:t xml:space="preserve">政府采购合同</w:t>
      </w:r>
      <w:r/>
    </w:p>
    <w:p>
      <w:pPr>
        <w:jc w:val="center"/>
        <w:spacing w:line="480" w:lineRule="auto"/>
        <w:widowControl/>
        <w:rPr>
          <w:rFonts w:ascii="仿宋" w:hAnsi="仿宋" w:eastAsia="仿宋" w:cs="仿宋"/>
          <w:b/>
          <w:color w:val="auto"/>
          <w:sz w:val="36"/>
          <w:szCs w:val="24"/>
          <w:highlight w:val="none"/>
        </w:rPr>
      </w:pPr>
      <w:r>
        <w:rPr>
          <w:rFonts w:hint="eastAsia" w:ascii="仿宋" w:hAnsi="仿宋" w:eastAsia="仿宋" w:cs="仿宋"/>
          <w:b/>
          <w:color w:val="auto"/>
          <w:sz w:val="36"/>
          <w:szCs w:val="24"/>
          <w:highlight w:val="none"/>
        </w:rPr>
        <w:t xml:space="preserve">（服务类）</w:t>
      </w:r>
      <w:r/>
    </w:p>
    <w:p>
      <w:pPr>
        <w:spacing w:after="200"/>
        <w:rPr>
          <w:rFonts w:ascii="仿宋" w:hAnsi="仿宋" w:eastAsia="仿宋" w:cs="仿宋"/>
          <w:b/>
          <w:color w:val="auto"/>
          <w:sz w:val="24"/>
          <w:szCs w:val="20"/>
          <w:highlight w:val="none"/>
        </w:rPr>
      </w:pPr>
      <w:r>
        <w:rPr>
          <w:rFonts w:ascii="仿宋" w:hAnsi="仿宋" w:eastAsia="仿宋" w:cs="仿宋"/>
          <w:b/>
          <w:color w:val="auto"/>
          <w:sz w:val="24"/>
          <w:szCs w:val="20"/>
          <w:highlight w:val="none"/>
        </w:rPr>
      </w:r>
      <w:r/>
    </w:p>
    <w:p>
      <w:pPr>
        <w:ind w:firstLine="210"/>
        <w:spacing w:after="120"/>
        <w:rPr>
          <w:rFonts w:ascii="仿宋" w:hAnsi="仿宋" w:eastAsia="仿宋" w:cs="仿宋"/>
          <w:color w:val="auto"/>
          <w:highlight w:val="none"/>
        </w:rPr>
      </w:pPr>
      <w:r>
        <w:rPr>
          <w:rFonts w:ascii="仿宋" w:hAnsi="仿宋" w:eastAsia="仿宋" w:cs="仿宋"/>
          <w:color w:val="auto"/>
          <w:highlight w:val="none"/>
        </w:rPr>
      </w:r>
      <w:r/>
    </w:p>
    <w:p>
      <w:pPr>
        <w:ind w:left="1899" w:hanging="1340"/>
        <w:spacing w:after="200" w:line="360" w:lineRule="auto"/>
        <w:rPr>
          <w:rFonts w:hint="default" w:ascii="仿宋" w:hAnsi="仿宋" w:eastAsia="仿宋" w:cs="仿宋"/>
          <w:color w:val="auto"/>
          <w:spacing w:val="-6"/>
          <w:sz w:val="28"/>
          <w:szCs w:val="28"/>
          <w:highlight w:val="none"/>
          <w:u w:val="single"/>
          <w:lang w:val="en-US" w:eastAsia="zh-CN"/>
        </w:rPr>
      </w:pPr>
      <w:r>
        <w:rPr>
          <w:rFonts w:hint="eastAsia" w:ascii="仿宋" w:hAnsi="仿宋" w:eastAsia="仿宋" w:cs="仿宋"/>
          <w:color w:val="auto"/>
          <w:sz w:val="28"/>
          <w:szCs w:val="28"/>
          <w:highlight w:val="none"/>
        </w:rPr>
        <w:t xml:space="preserve">采购包名称：</w:t>
      </w:r>
      <w:r>
        <w:rPr>
          <w:rFonts w:hint="eastAsia" w:ascii="仿宋" w:hAnsi="仿宋" w:eastAsia="仿宋" w:cs="仿宋"/>
          <w:color w:val="auto"/>
          <w:sz w:val="28"/>
          <w:szCs w:val="28"/>
          <w:highlight w:val="none"/>
          <w:u w:val="single"/>
          <w:lang w:val="en-US" w:eastAsia="zh-CN"/>
        </w:rPr>
        <w:t xml:space="preserve">                         </w:t>
      </w:r>
      <w:r/>
    </w:p>
    <w:p>
      <w:pPr>
        <w:spacing w:after="20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after="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项目地点：</w:t>
      </w:r>
      <w:r>
        <w:rPr>
          <w:rFonts w:hint="eastAsia" w:ascii="仿宋" w:hAnsi="仿宋" w:eastAsia="仿宋" w:cs="仿宋"/>
          <w:color w:val="auto"/>
          <w:sz w:val="28"/>
          <w:szCs w:val="28"/>
          <w:highlight w:val="none"/>
          <w:u w:val="single"/>
        </w:rPr>
        <w:t xml:space="preserve">宿迁市</w:t>
      </w:r>
      <w:r/>
    </w:p>
    <w:p>
      <w:pPr>
        <w:spacing w:after="20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after="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甲    方：</w:t>
      </w:r>
      <w:r>
        <w:rPr>
          <w:rFonts w:hint="eastAsia" w:ascii="仿宋" w:hAnsi="仿宋" w:eastAsia="仿宋" w:cs="仿宋"/>
          <w:color w:val="auto"/>
          <w:sz w:val="28"/>
          <w:szCs w:val="28"/>
          <w:highlight w:val="none"/>
          <w:u w:val="single"/>
        </w:rPr>
        <w:t xml:space="preserve">宿迁市水务工程建设管理中心</w:t>
      </w:r>
      <w:r/>
    </w:p>
    <w:p>
      <w:pPr>
        <w:spacing w:after="200"/>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after="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乙    方：</w:t>
      </w:r>
      <w:r/>
    </w:p>
    <w:p>
      <w:pPr>
        <w:spacing w:after="200"/>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签订日期：2026年</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jc w:val="center"/>
        <w:spacing w:line="360" w:lineRule="auto"/>
        <w:rPr>
          <w:rFonts w:ascii="仿宋" w:hAnsi="仿宋" w:eastAsia="仿宋" w:cs="仿宋"/>
          <w:b/>
          <w:bCs/>
          <w:color w:val="auto"/>
          <w:sz w:val="30"/>
          <w:szCs w:val="20"/>
          <w:highlight w:val="none"/>
        </w:rPr>
        <w:outlineLvl w:val="1"/>
      </w:pPr>
      <w:r>
        <w:rPr>
          <w:rFonts w:hint="eastAsia" w:ascii="仿宋" w:hAnsi="仿宋" w:eastAsia="仿宋" w:cs="仿宋"/>
          <w:bCs/>
          <w:color w:val="auto"/>
          <w:sz w:val="24"/>
          <w:szCs w:val="21"/>
          <w:highlight w:val="none"/>
        </w:rPr>
        <w:br w:type="page" w:clear="all"/>
      </w:r>
      <w:r>
        <w:rPr>
          <w:rFonts w:hint="eastAsia" w:ascii="仿宋" w:hAnsi="仿宋" w:eastAsia="仿宋" w:cs="仿宋"/>
          <w:b/>
          <w:color w:val="auto"/>
          <w:sz w:val="30"/>
          <w:szCs w:val="21"/>
          <w:highlight w:val="none"/>
        </w:rPr>
        <w:t xml:space="preserve">政府采购合同</w:t>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采购包名称：</w:t>
      </w:r>
      <w:r/>
    </w:p>
    <w:p>
      <w:pPr>
        <w:ind w:firstLine="480"/>
        <w:spacing w:before="120" w:after="12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w:t>
      </w:r>
      <w:r/>
    </w:p>
    <w:p>
      <w:pPr>
        <w:ind w:firstLine="480"/>
        <w:spacing w:before="120" w:after="120"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乙方：</w:t>
      </w:r>
      <w:r/>
    </w:p>
    <w:p>
      <w:pPr>
        <w:ind w:firstLine="480"/>
        <w:spacing w:before="120" w:after="120" w:line="360" w:lineRule="auto"/>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采购包名称</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eastAsia="zh-CN"/>
        </w:rPr>
        <w:t xml:space="preserve">JSZC-321300-SSZJ-G2026-0002</w:t>
      </w:r>
      <w:r>
        <w:rPr>
          <w:rFonts w:hint="eastAsia" w:ascii="仿宋" w:hAnsi="仿宋" w:eastAsia="仿宋" w:cs="仿宋"/>
          <w:color w:val="auto"/>
          <w:sz w:val="24"/>
          <w:szCs w:val="24"/>
          <w:highlight w:val="none"/>
        </w:rPr>
        <w:t xml:space="preserve">）公开招标的结果，签署本合同。</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一、合同内容</w:t>
      </w:r>
      <w:r/>
    </w:p>
    <w:p>
      <w:pPr>
        <w:ind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1.1 采购包名称：</w:t>
      </w:r>
      <w:r>
        <w:rPr>
          <w:rFonts w:hint="eastAsia" w:ascii="仿宋" w:hAnsi="仿宋" w:eastAsia="仿宋" w:cs="仿宋"/>
          <w:color w:val="auto"/>
          <w:sz w:val="24"/>
          <w:szCs w:val="24"/>
          <w:highlight w:val="none"/>
          <w:u w:val="single"/>
        </w:rPr>
        <w:t xml:space="preserve">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质量：符合国家及地方的法律法规和行业规范性要求。</w:t>
      </w:r>
      <w:r/>
    </w:p>
    <w:p>
      <w:pPr>
        <w:ind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1.3 数量（规模）：</w:t>
      </w:r>
      <w:r>
        <w:rPr>
          <w:rFonts w:hint="eastAsia" w:ascii="仿宋" w:hAnsi="仿宋" w:eastAsia="仿宋" w:cs="仿宋"/>
          <w:color w:val="auto"/>
          <w:sz w:val="24"/>
          <w:szCs w:val="24"/>
          <w:highlight w:val="none"/>
          <w:u w:val="single"/>
        </w:rPr>
        <w:t xml:space="preserve">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履行时间（期限）：自合同生效之日起，至工程通过竣工验收且完成合同约定的全部义务之日止。</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履行地点：甲方指定地点</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 履行方式：乙方应当在甲方确定的时间、指定的地点履行合同。</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二、合同金额</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签约合同价：</w:t>
      </w:r>
      <w:r>
        <w:rPr>
          <w:rFonts w:hint="eastAsia" w:ascii="仿宋" w:hAnsi="仿宋" w:eastAsia="仿宋" w:cs="仿宋"/>
          <w:color w:val="auto"/>
          <w:sz w:val="24"/>
          <w:szCs w:val="24"/>
          <w:highlight w:val="none"/>
          <w:u w:val="single"/>
        </w:rPr>
        <w:t xml:space="preserve"> 批复的初步设计概算中相应建设征地移民安置监督评估费的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三、服务内容及要求</w:t>
      </w:r>
      <w:r/>
    </w:p>
    <w:p>
      <w:pPr>
        <w:pStyle w:val="772"/>
        <w:spacing w:line="36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按照《大中型水利工程移民安置监督评估管理规定》（水移民〔2025〕184号）和《水利水电工程移民安置监督评估规程》（SL/T716-2025）开展监督评估工作，包括但不限于：</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1）移民安置进度监督评估：跟踪检查和监督移民安置年度计划执行情况；检查移民资金拨付及时性、移民安置实施力量按需求投入情况，以及移民安置实施过程中问题处理及时性；参与移民安置进度计划协调会议；及时对移民安置进度提出监督评估意见等。</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2）移民安置质量监督评估：检查移民实施机构质量管理制度建立和移民工程质量控制体系落实情况；督促相关单位严格按照批准的移民安置规划组织实施，评估实施与规划的符合性；参与移民安置实施阶段的实物复核、移民安置实施设计文件（含设计变更）审查、移民安置项目质量问题处理；参加移民安置项目的验收工作；及时对移民安置质量提出监督评估意见等。</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3）移民资金的拨付和使用情况监督评估：跟踪检查移民资金拨付和使用，监督有关单位按照批复的概算和年度投资计划合理使用资金；检查个人、集体和企（事）业单位等移民资金兑付程序合法性、进度及时性等情况；协助项目法人审核移民实施机构报送的移民安置年度计划资金拨付和使用情况统计报表；及时对移民资金的拨付和使用情况提出监督评估意见等。</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4）移民安置档案监督评估：检查移民档案管理制度建设情况；检查移民户搬迁前后住址、土地、房屋、财产以及移民资金补偿补助等生产生活资料登记造册情况；检查移民实施机构移民档案收集、整理归档情况；及时对移民档案管理情况提出监督评估意见等。</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5）移民生产生活水平恢复情况监督评估：建立移民安置前的生产生活水平本底资料；跟踪监测移民安置规划确定的移民生产生活水平恢复措施的实施情况及效果；跟踪监测评估移民安置后的生产生活水平恢复情况；及时对移民生产生活水平恢复情况提出监督评估意见等。</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6）移民安置监督评估其他工作：包括移民安置资料和档案的收集、整理、归档、整编、验收、信息化建设和应用等工作；协助有关单位编制移民验收（自验、初验、终验）工作计划、方案、报告及统一性检查等；根据《水利水电工程移民安置监督评估规程》有关规定，开发应用移民监督评估信息化平台，归集征迁补偿标准、征迁实物量、资金、档案资</w:t>
      </w:r>
      <w:r>
        <w:rPr>
          <w:rFonts w:hint="eastAsia" w:ascii="仿宋" w:hAnsi="仿宋" w:eastAsia="仿宋" w:cs="仿宋"/>
          <w:color w:val="auto"/>
          <w:sz w:val="24"/>
          <w:szCs w:val="24"/>
          <w:highlight w:val="none"/>
          <w:lang w:eastAsia="zh-CN"/>
        </w:rPr>
        <w:t xml:space="preserve">料等移民监督全流程数据，在信息化平台基础上融入AI智能算法，具备无人机航测等数据AI智能解译能力，自动识别、量算、分类征地红线内土地利用类型、各类征迁实物量指标，对比批复内容识别建立各项征迁指标变动差异台账，辅助现场复核，实现移民安置相关指标趋势预测，具备移民征迁监督档案台账一键检索、精准调取等功能，并提供移民监督评估全过程信息化平台和AI应用的技术总结和研发成果，信息化平台和AI智能算法、网络安全等级保护等满足相关要求，预留同其他信息化平台对接接口；以及至工程通过竣工验收前涉及移民安置监督评估的相关工作。</w:t>
      </w:r>
      <w:r/>
    </w:p>
    <w:p>
      <w:pPr>
        <w:ind w:firstLine="480"/>
        <w:spacing w:line="360" w:lineRule="auto"/>
        <w:rPr>
          <w:rFonts w:hint="eastAsia" w:ascii="仿宋" w:hAnsi="仿宋" w:eastAsia="仿宋" w:cs="仿宋"/>
          <w:color w:val="auto"/>
          <w:sz w:val="24"/>
          <w:szCs w:val="24"/>
          <w:highlight w:val="none"/>
          <w:lang w:eastAsia="zh-CN"/>
        </w:rPr>
        <w:outlineLvl w:val="1"/>
      </w:pPr>
      <w:r>
        <w:rPr>
          <w:rFonts w:hint="eastAsia" w:ascii="仿宋" w:hAnsi="仿宋" w:eastAsia="仿宋" w:cs="仿宋"/>
          <w:color w:val="auto"/>
          <w:sz w:val="24"/>
          <w:szCs w:val="24"/>
          <w:highlight w:val="none"/>
          <w:lang w:eastAsia="zh-CN"/>
        </w:rPr>
        <w:t xml:space="preserve">采购包1中标单位负责牵头淮河干流浮山以下段行洪区调整和建设工程宿迁境内移民安置监督评估服务项目，包括移民安置专项验收总结报告、移民安置规划调整报告（牵头汇总）、移民安置档案整理归档、移民安置资料整合汇总以及采购人明确的涉及移民监督评估的相关牵头事项。采购包2中标单位应予配合。</w:t>
      </w:r>
      <w:r/>
    </w:p>
    <w:p>
      <w:pPr>
        <w:ind w:firstLine="480"/>
        <w:spacing w:line="360" w:lineRule="auto"/>
        <w:rPr>
          <w:rFonts w:ascii="仿宋" w:hAnsi="仿宋" w:eastAsia="仿宋" w:cs="仿宋"/>
          <w:b/>
          <w:bCs/>
          <w:color w:val="auto"/>
          <w:sz w:val="24"/>
          <w:szCs w:val="24"/>
          <w:highlight w:val="none"/>
        </w:rPr>
        <w:outlineLvl w:val="1"/>
      </w:pPr>
      <w:r>
        <w:rPr>
          <w:rFonts w:hint="eastAsia" w:ascii="仿宋" w:hAnsi="仿宋" w:eastAsia="仿宋" w:cs="仿宋"/>
          <w:color w:val="auto"/>
          <w:sz w:val="24"/>
          <w:szCs w:val="24"/>
          <w:highlight w:val="none"/>
          <w:lang w:eastAsia="zh-CN"/>
        </w:rPr>
        <w:t xml:space="preserve">采购包1中标单位负责信息化平台和AI应用开发，采购包2中标单位应提供数据资料，满足信息化平台和AI应用的要求。</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四、监督评估机构的义务</w:t>
      </w:r>
      <w:r/>
    </w:p>
    <w:p>
      <w:pPr>
        <w:pStyle w:val="823"/>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4.1 中标单位工作人员在岗履行职责期间(包括上下班途中)，发生自身的人身伤害、伤亡，均由中标单位负责处理并承担经济责任，采购方不承担任何责任。</w:t>
      </w:r>
      <w:r/>
    </w:p>
    <w:p>
      <w:pPr>
        <w:pStyle w:val="823"/>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4.2 在合同期内，因中标单位原因，所造成的直接经济损失由中标单位按实际金额赔偿。 </w:t>
      </w:r>
      <w:r/>
    </w:p>
    <w:p>
      <w:pPr>
        <w:pStyle w:val="823"/>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4.3 因中标单位管理不善，造成工作范围内的设施、设备等损坏的，由中标单位赔偿，采购单位有权要求中标单位负责赔偿损失，情节严重的可终止合同甚至诉诸法律。 </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highlight w:val="none"/>
        </w:rPr>
        <w:t xml:space="preserve">4.4 本项目派驻现场人员要求为：采购包1项目组成员不少于8人；采购包2项目组成员不少于6人。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项目组成员包括监督评估总负责人、监督评估负责人和监督评估其他人员</w:t>
      </w:r>
      <w:r>
        <w:rPr>
          <w:rFonts w:hint="eastAsia" w:ascii="仿宋" w:hAnsi="仿宋" w:eastAsia="仿宋" w:cs="仿宋"/>
          <w:color w:val="auto"/>
          <w:sz w:val="24"/>
          <w:szCs w:val="24"/>
          <w:highlight w:val="none"/>
          <w:lang w:eastAsia="zh-CN"/>
        </w:rPr>
        <w:t xml:space="preserve">）</w:t>
      </w:r>
      <w:r/>
    </w:p>
    <w:p>
      <w:pPr>
        <w:ind w:firstLine="482"/>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中标单位应按投标约定的人员、数量、服务时限及经采购人批准的人员进场计划履约。</w:t>
      </w:r>
      <w:r>
        <w:rPr>
          <w:rFonts w:hint="eastAsia" w:ascii="仿宋" w:hAnsi="仿宋" w:eastAsia="仿宋" w:cs="仿宋"/>
          <w:color w:val="auto"/>
          <w:sz w:val="24"/>
          <w:szCs w:val="24"/>
          <w:highlight w:val="none"/>
        </w:rPr>
        <w:t xml:space="preserve">监督评估总负责人、监督评估负责人和监督评估其他人员</w:t>
      </w:r>
      <w:r>
        <w:rPr>
          <w:rFonts w:hint="eastAsia" w:ascii="仿宋" w:hAnsi="仿宋" w:eastAsia="仿宋" w:cs="仿宋"/>
          <w:b/>
          <w:bCs/>
          <w:color w:val="auto"/>
          <w:sz w:val="24"/>
          <w:szCs w:val="24"/>
          <w:highlight w:val="none"/>
        </w:rPr>
        <w:t xml:space="preserve">与投标文件中承诺的一致，原则上不得更换，如确需变动，须书面提请委托人批准（除不可抗力外，更换监督评估总负责人的缴纳违约金5</w:t>
      </w:r>
      <w:r>
        <w:rPr>
          <w:rFonts w:ascii="仿宋" w:hAnsi="仿宋" w:eastAsia="仿宋" w:cs="仿宋"/>
          <w:b/>
          <w:bCs/>
          <w:color w:val="auto"/>
          <w:sz w:val="24"/>
          <w:szCs w:val="24"/>
          <w:highlight w:val="none"/>
        </w:rPr>
        <w:t xml:space="preserve">0</w:t>
      </w:r>
      <w:r>
        <w:rPr>
          <w:rFonts w:hint="eastAsia" w:ascii="仿宋" w:hAnsi="仿宋" w:eastAsia="仿宋" w:cs="仿宋"/>
          <w:b/>
          <w:bCs/>
          <w:color w:val="auto"/>
          <w:sz w:val="24"/>
          <w:szCs w:val="24"/>
          <w:highlight w:val="none"/>
        </w:rPr>
        <w:t xml:space="preserve">万元，更换监督评估负责人的缴纳违约金10万元</w:t>
      </w:r>
      <w:r>
        <w:rPr>
          <w:rFonts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人，更换监督评估技术员的缴纳违约金2万元</w:t>
      </w:r>
      <w:r>
        <w:rPr>
          <w:rFonts w:ascii="仿宋" w:hAnsi="仿宋" w:eastAsia="仿宋" w:cs="仿宋"/>
          <w:b/>
          <w:bCs/>
          <w:color w:val="auto"/>
          <w:sz w:val="24"/>
          <w:szCs w:val="24"/>
          <w:highlight w:val="none"/>
        </w:rPr>
        <w:t xml:space="preserve">/</w:t>
      </w:r>
      <w:r>
        <w:rPr>
          <w:rFonts w:hint="eastAsia" w:ascii="仿宋" w:hAnsi="仿宋" w:eastAsia="仿宋" w:cs="仿宋"/>
          <w:b/>
          <w:bCs/>
          <w:color w:val="auto"/>
          <w:sz w:val="24"/>
          <w:szCs w:val="24"/>
          <w:highlight w:val="none"/>
        </w:rPr>
        <w:t xml:space="preserve">人，违约金在监督评估费支付中扣除）。</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合同签订后，驻工人员需全部到位并接受考勤，工作期间在项目所在地设立固定的办公场所。施工红线范围内移民安置监督评估任务完成前所有人员每月驻工不少于22天，监督评估总负责人每少一天扣除违约金20</w:t>
      </w:r>
      <w:r>
        <w:rPr>
          <w:rFonts w:ascii="仿宋" w:hAnsi="仿宋" w:eastAsia="仿宋" w:cs="仿宋"/>
          <w:color w:val="auto"/>
          <w:sz w:val="24"/>
          <w:szCs w:val="24"/>
          <w:highlight w:val="none"/>
        </w:rPr>
        <w:t xml:space="preserve">00</w:t>
      </w:r>
      <w:r>
        <w:rPr>
          <w:rFonts w:hint="eastAsia" w:ascii="仿宋" w:hAnsi="仿宋" w:eastAsia="仿宋" w:cs="仿宋"/>
          <w:color w:val="auto"/>
          <w:sz w:val="24"/>
          <w:szCs w:val="24"/>
          <w:highlight w:val="none"/>
        </w:rPr>
        <w:t xml:space="preserve">元，监督评估负责人、监督评估其他人员每少一天扣除违约金10</w:t>
      </w:r>
      <w:r>
        <w:rPr>
          <w:rFonts w:ascii="仿宋" w:hAnsi="仿宋" w:eastAsia="仿宋" w:cs="仿宋"/>
          <w:color w:val="auto"/>
          <w:sz w:val="24"/>
          <w:szCs w:val="24"/>
          <w:highlight w:val="none"/>
        </w:rPr>
        <w:t xml:space="preserve">00</w:t>
      </w:r>
      <w:r>
        <w:rPr>
          <w:rFonts w:hint="eastAsia" w:ascii="仿宋" w:hAnsi="仿宋" w:eastAsia="仿宋" w:cs="仿宋"/>
          <w:color w:val="auto"/>
          <w:sz w:val="24"/>
          <w:szCs w:val="24"/>
          <w:highlight w:val="none"/>
        </w:rPr>
        <w:t xml:space="preserve">元</w:t>
      </w:r>
      <w:r>
        <w:rPr>
          <w:rFonts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人，扣除的违约金总额不超过合同价10%。</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4.6</w:t>
      </w:r>
      <w:r>
        <w:rPr>
          <w:rFonts w:hint="eastAsia" w:ascii="仿宋" w:hAnsi="仿宋" w:eastAsia="仿宋" w:cs="仿宋"/>
          <w:color w:val="auto"/>
          <w:sz w:val="24"/>
          <w:szCs w:val="24"/>
          <w:highlight w:val="none"/>
        </w:rPr>
        <w:t xml:space="preserve">移民安置监督评估中标单位签订合同后10天内，编制上报监督评估总进度计划和分年度任务等。</w:t>
      </w:r>
      <w:r/>
    </w:p>
    <w:p>
      <w:pPr>
        <w:ind w:firstLine="480"/>
        <w:spacing w:line="360" w:lineRule="auto"/>
        <w:rPr>
          <w:rFonts w:hint="default"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 xml:space="preserve">4.7</w:t>
      </w:r>
      <w:r>
        <w:rPr>
          <w:rFonts w:hint="eastAsia" w:ascii="仿宋" w:hAnsi="仿宋" w:eastAsia="仿宋" w:cs="仿宋"/>
          <w:color w:val="auto"/>
          <w:sz w:val="24"/>
          <w:szCs w:val="24"/>
          <w:highlight w:val="none"/>
          <w:lang w:val="en-US" w:eastAsia="zh-CN" w:bidi="ar-SA"/>
        </w:rPr>
        <w:t xml:space="preserve">采购包1移民安置监督评估中标单位签订合同后30天内编制上报信息化平台和AI应用设计方案，设计方案须通过采购人组织专家评审</w:t>
      </w:r>
      <w:r>
        <w:rPr>
          <w:rFonts w:hint="eastAsia" w:ascii="仿宋" w:hAnsi="仿宋" w:eastAsia="仿宋" w:cs="仿宋"/>
          <w:color w:val="auto"/>
          <w:sz w:val="24"/>
          <w:szCs w:val="24"/>
          <w:highlight w:val="none"/>
          <w:lang w:val="en-US" w:eastAsia="zh-CN"/>
        </w:rPr>
        <w:t xml:space="preserve">。</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五、履约保证金</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本项目不收取履约保证金。</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六、合同转包或分包</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6.1乙方不得将合同标的转包给他人履行。</w:t>
      </w:r>
      <w:r/>
    </w:p>
    <w:p>
      <w:pPr>
        <w:ind w:firstLine="480"/>
        <w:spacing w:before="120" w:after="120" w:line="360" w:lineRule="auto"/>
        <w:rPr>
          <w:rFonts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6.2除信息化平台和AI智能算法开发工作甲方</w:t>
      </w:r>
      <w:r>
        <w:rPr>
          <w:rFonts w:hint="eastAsia" w:ascii="仿宋" w:hAnsi="仿宋" w:eastAsia="仿宋" w:cs="仿宋"/>
          <w:color w:val="auto"/>
          <w:sz w:val="24"/>
          <w:szCs w:val="24"/>
          <w:highlight w:val="none"/>
          <w:lang w:val="en-US" w:eastAsia="zh-CN"/>
        </w:rPr>
        <w:t xml:space="preserve">允许分包</w:t>
      </w:r>
      <w:r>
        <w:rPr>
          <w:rFonts w:hint="eastAsia" w:ascii="仿宋" w:hAnsi="仿宋" w:eastAsia="仿宋" w:cs="仿宋"/>
          <w:color w:val="auto"/>
          <w:sz w:val="24"/>
          <w:szCs w:val="24"/>
          <w:highlight w:val="none"/>
        </w:rPr>
        <w:t xml:space="preserve">外，乙方不得将合同标的分包给他人履行。</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6.3乙方如有转包或未经甲方书面同意的分包行为，甲方有权解除合同。</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七、合同款项支付</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1、合同签订后支付合同价款的30%作为预付款（提供预付款保函）；</w:t>
      </w:r>
      <w:r/>
    </w:p>
    <w:p>
      <w:pPr>
        <w:ind w:firstLine="480"/>
        <w:jc w:val="left"/>
        <w:spacing w:line="360" w:lineRule="auto"/>
        <w:widowControl/>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rPr>
        <w:t xml:space="preserve">、根据监督评估工作总体完成进度按年度进行支付，第二年支付至合同价款的40%（含预付款），第三年支付至合同价款的60%；通过移民安置自验后支付至合同价款的80%；完成监督评估服务全部工作并通过移民专项验收（终验）后支付至合同价款的100%。</w:t>
      </w:r>
      <w:r/>
    </w:p>
    <w:p>
      <w:pPr>
        <w:ind w:firstLine="48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注：1.在签订合同时，中标人明确表示无需预付款或者主动要求降低预付款比例的金额，采购人可不适用预付款规定；</w:t>
      </w:r>
      <w:r/>
    </w:p>
    <w:p>
      <w:pPr>
        <w:numPr>
          <w:ilvl w:val="0"/>
          <w:numId w:val="3"/>
        </w:numPr>
        <w:ind w:left="0" w:firstLine="48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因本项目为费率招标、且合同签订时初步设计尚未批复，预付款时批复的初步设计概算中相应建设征地移民安置监督评估费暂按包1人民币800万元、包2人民币400万元计算。</w:t>
      </w:r>
      <w:r/>
    </w:p>
    <w:p>
      <w:pPr>
        <w:numPr>
          <w:ilvl w:val="0"/>
          <w:numId w:val="0"/>
        </w:numPr>
        <w:ind w:left="480"/>
        <w:jc w:val="left"/>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en-US" w:eastAsia="zh-CN"/>
        </w:rPr>
        <w:t xml:space="preserve">因本工程建设需要，另增加的监督评估工作，不增加监督评估费。</w:t>
      </w:r>
      <w:r/>
    </w:p>
    <w:p>
      <w:pPr>
        <w:numPr>
          <w:ilvl w:val="0"/>
          <w:numId w:val="0"/>
        </w:numPr>
        <w:ind w:left="0"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4.因监督评估单位原因而造成暂停或终止监督评估业务，其善后工作及恢复监督评估业务的工作发生的费用，由监督评估单位承担。</w:t>
      </w:r>
      <w:r/>
    </w:p>
    <w:p>
      <w:pPr>
        <w:ind w:firstLine="480"/>
        <w:jc w:val="left"/>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left"/>
        <w:spacing w:line="360" w:lineRule="auto"/>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八、税费</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九、项目验收</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甲方依据《</w:t>
      </w:r>
      <w:r>
        <w:rPr>
          <w:rFonts w:ascii="仿宋" w:hAnsi="仿宋" w:eastAsia="仿宋" w:cs="仿宋"/>
          <w:color w:val="auto"/>
          <w:sz w:val="24"/>
          <w:szCs w:val="24"/>
          <w:highlight w:val="none"/>
        </w:rPr>
        <w:t xml:space="preserve">水利水电工程移民安置验收规程</w:t>
      </w:r>
      <w:r>
        <w:rPr>
          <w:rFonts w:hint="eastAsia" w:ascii="仿宋" w:hAnsi="仿宋" w:eastAsia="仿宋" w:cs="仿宋"/>
          <w:color w:val="auto"/>
          <w:sz w:val="24"/>
          <w:szCs w:val="24"/>
          <w:highlight w:val="none"/>
        </w:rPr>
        <w:t xml:space="preserve">》（SL/T 716-2025）组织相关验收工作。</w:t>
      </w:r>
      <w:r/>
    </w:p>
    <w:p>
      <w:pPr>
        <w:ind w:firstLine="480"/>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在组织验收的过程中，乙方应根据甲方验收工作需要做好相应配合工作。</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十、违约责任</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的违约金。</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10.2甲方无故逾期验收和办理合同款项支付手续的,甲方应按逾期付款总额</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每日向乙方支付违约金。</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 乙方提交的成果材料每延迟一天，扣除合同价款</w:t>
      </w:r>
      <w:r>
        <w:rPr>
          <w:rFonts w:hint="eastAsia" w:ascii="仿宋" w:hAnsi="仿宋" w:eastAsia="仿宋" w:cs="仿宋"/>
          <w:color w:val="auto"/>
          <w:sz w:val="24"/>
          <w:szCs w:val="24"/>
          <w:highlight w:val="none"/>
          <w:u w:val="single"/>
        </w:rPr>
        <w:t xml:space="preserve">1%</w:t>
      </w:r>
      <w:r>
        <w:rPr>
          <w:rFonts w:hint="eastAsia" w:ascii="仿宋" w:hAnsi="仿宋" w:eastAsia="仿宋" w:cs="仿宋"/>
          <w:color w:val="auto"/>
          <w:sz w:val="24"/>
          <w:szCs w:val="24"/>
          <w:highlight w:val="none"/>
        </w:rPr>
        <w:t xml:space="preserve">的违约金，如延迟超过十天，则甲方有权终止合同，不支付任何费用。</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 乙方监督评估机构人员配备若不满足相关要求或所提供服务的标准不符合合同规定及招标文件规定标准的，甲方有权拒绝接受服务，并可单方面解除合同。乙方除应返还甲方已付款项外，还应向甲方支付合同价款总额30%的违约金，不足弥补甲方损失的仍需赔偿。</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10.5 本项目不得转包或未经甲方书面同意分包，如有发生，甲方有权解除合同，乙方除应返还甲方已付项外，还应向甲方支付合同价款总额30%的违约金，不足弥补甲方损失的仍需赔偿。</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10.6 违约方应承担守约方主张权益产生的包括但不限于交通费、误工费、律师费、鉴定费、保全费、保全保险费、诉讼费、差旅费等相关费用。</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十一、乙方合法权益补偿机制</w:t>
      </w:r>
      <w:r/>
    </w:p>
    <w:p>
      <w:pPr>
        <w:ind w:firstLine="480"/>
        <w:spacing w:before="72" w:after="72"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乙方合法权益补偿救济机制。在履约过程中因政策变化、规划调整而无法履行合同约定，造成企业合法权益受损的，甲方依据实际情况对乙方进行补偿救济。</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十二、不可抗力事件处理</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在合同有效期内，任何一方因不可抗力事件导致不能履行合同，则合同履行期可延长，其延长期与不可抗力影响期相同。</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不可抗力事件发生后，应立即通知对方，并寄送有关权威机构出具的证明。</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 不可抗力事件延续120天以上，双方应通过友好协商，确定是否继续履行合同。</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十三、解决争议的方法</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双方在签订、履行合同中所发生的一切争议，应通过友好协商解决。如协商不成，由甲方住所地人民法院管辖。</w:t>
      </w:r>
      <w:r/>
    </w:p>
    <w:p>
      <w:pPr>
        <w:ind w:firstLine="482"/>
        <w:spacing w:before="120" w:after="120" w:line="360" w:lineRule="auto"/>
        <w:rPr>
          <w:rFonts w:ascii="仿宋" w:hAnsi="仿宋" w:eastAsia="仿宋" w:cs="仿宋"/>
          <w:b/>
          <w:color w:val="auto"/>
          <w:sz w:val="24"/>
          <w:szCs w:val="24"/>
          <w:highlight w:val="none"/>
        </w:rPr>
        <w:outlineLvl w:val="2"/>
      </w:pPr>
      <w:r>
        <w:rPr>
          <w:rFonts w:hint="eastAsia" w:ascii="仿宋" w:hAnsi="仿宋" w:eastAsia="仿宋" w:cs="仿宋"/>
          <w:b/>
          <w:color w:val="auto"/>
          <w:sz w:val="24"/>
          <w:szCs w:val="24"/>
          <w:highlight w:val="none"/>
        </w:rPr>
        <w:t xml:space="preserve">十四、合同生效及其它</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14.1合同经双方法定代表人或授权委托代表人签字并加盖单位公章后生效。</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14.2本合同未尽事宜，遵照《中华人民共和国民法典》《中华人民共和国政府采购法》有关条文执行。</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本项目未尽事宜，经双方协商一致，可签订补充协议，补充协议具有与本合同同等效力。</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w:t>
      </w:r>
      <w:r>
        <w:rPr>
          <w:rFonts w:hint="eastAsia" w:ascii="仿宋" w:hAnsi="仿宋" w:eastAsia="仿宋" w:cs="仿宋"/>
          <w:bCs/>
          <w:color w:val="auto"/>
          <w:sz w:val="24"/>
          <w:szCs w:val="21"/>
          <w:highlight w:val="none"/>
        </w:rPr>
        <w:t xml:space="preserve">本合同正本一式陆份，具有同等法律效力，甲方、乙方各执叁份</w:t>
      </w:r>
      <w:r>
        <w:rPr>
          <w:rFonts w:hint="eastAsia" w:ascii="仿宋" w:hAnsi="仿宋" w:eastAsia="仿宋" w:cs="仿宋"/>
          <w:color w:val="auto"/>
          <w:sz w:val="24"/>
          <w:szCs w:val="24"/>
          <w:highlight w:val="none"/>
        </w:rPr>
        <w:t xml:space="preserve">。</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 招标投标文件（包括但不限于招标文件、投标文件、响应文件、磋商文件、中标通知书、承诺书等）是合同组成部分。</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14.6 甲乙双方签订本合同时登记的地址、联系方式作为合同履行通知及法律文书（含诉讼文书、传票等）送达地址、联系方式，如有变更，甲乙双方须提前以书面形式通知对方。否则，如出现无法通知、文书被退回、拒收等情形视为对方已收，由此产生的法律后果均由该方承担。</w:t>
      </w:r>
      <w:r/>
    </w:p>
    <w:p>
      <w:pPr>
        <w:ind w:firstLine="480"/>
        <w:spacing w:before="120" w:after="120"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地址： </w:t>
      </w:r>
      <w:r/>
    </w:p>
    <w:p>
      <w:pPr>
        <w:ind w:firstLine="480"/>
        <w:spacing w:before="120" w:after="120"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        法定代表人或授权代表：</w:t>
      </w:r>
      <w:r/>
    </w:p>
    <w:p>
      <w:pPr>
        <w:ind w:firstLine="480"/>
        <w:spacing w:before="120" w:after="120" w:line="360" w:lineRule="auto"/>
        <w:rPr>
          <w:rFonts w:ascii="仿宋" w:hAnsi="仿宋" w:eastAsia="仿宋" w:cs="仿宋"/>
          <w:color w:val="auto"/>
          <w:szCs w:val="21"/>
          <w:highlight w:val="none"/>
        </w:rPr>
      </w:pPr>
      <w:r>
        <w:rPr>
          <w:rFonts w:hint="eastAsia" w:ascii="仿宋" w:hAnsi="仿宋" w:eastAsia="仿宋" w:cs="仿宋"/>
          <w:color w:val="auto"/>
          <w:sz w:val="24"/>
          <w:szCs w:val="24"/>
          <w:highlight w:val="none"/>
        </w:rPr>
        <w:t xml:space="preserve">联系电话：                    联系电话：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签订日期：      年    月   日</w:t>
      </w:r>
      <w:r/>
    </w:p>
    <w:p>
      <w:pPr>
        <w:rPr>
          <w:rFonts w:ascii="仿宋" w:hAnsi="仿宋" w:eastAsia="仿宋" w:cs="仿宋"/>
          <w:color w:val="auto"/>
          <w:highlight w:val="none"/>
        </w:rPr>
      </w:pPr>
      <w:r>
        <w:rPr>
          <w:rFonts w:ascii="仿宋" w:hAnsi="仿宋" w:eastAsia="仿宋" w:cs="仿宋"/>
          <w:color w:val="auto"/>
          <w:highlight w:val="none"/>
        </w:rPr>
      </w:r>
      <w:r/>
    </w:p>
    <w:p>
      <w:pPr>
        <w:ind w:firstLine="480"/>
        <w:spacing w:line="460" w:lineRule="exact"/>
        <w:rPr>
          <w:rFonts w:ascii="仿宋" w:hAnsi="仿宋" w:eastAsia="仿宋" w:cs="仿宋"/>
          <w:color w:val="auto"/>
          <w:sz w:val="24"/>
          <w:highlight w:val="none"/>
        </w:rPr>
      </w:pPr>
      <w:r>
        <w:rPr>
          <w:rFonts w:hint="eastAsia" w:ascii="仿宋" w:hAnsi="仿宋" w:eastAsia="仿宋" w:cs="仿宋"/>
          <w:bCs/>
          <w:color w:val="auto"/>
          <w:sz w:val="44"/>
          <w:highlight w:val="none"/>
        </w:rPr>
        <w:br w:type="page" w:clear="all"/>
      </w:r>
      <w:r/>
    </w:p>
    <w:p>
      <w:pPr>
        <w:jc w:val="center"/>
        <w:spacing w:line="360" w:lineRule="auto"/>
        <w:rPr>
          <w:rFonts w:ascii="仿宋" w:hAnsi="仿宋" w:eastAsia="仿宋" w:cs="仿宋"/>
          <w:b/>
          <w:bCs/>
          <w:color w:val="auto"/>
          <w:sz w:val="44"/>
          <w:szCs w:val="44"/>
          <w:highlight w:val="none"/>
        </w:rPr>
        <w:outlineLvl w:val="0"/>
      </w:pPr>
      <w:r/>
      <w:bookmarkStart w:id="153" w:name="_Toc5354"/>
      <w:r/>
      <w:bookmarkStart w:id="154" w:name="_Toc27936"/>
      <w:r/>
      <w:bookmarkStart w:id="155" w:name="_Toc1783"/>
      <w:r/>
      <w:r/>
    </w:p>
    <w:p>
      <w:pPr>
        <w:jc w:val="center"/>
        <w:spacing w:line="360" w:lineRule="auto"/>
        <w:rPr>
          <w:rFonts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第六章  投标</w:t>
      </w:r>
      <w:bookmarkEnd w:id="144"/>
      <w:r/>
      <w:bookmarkEnd w:id="145"/>
      <w:r/>
      <w:bookmarkEnd w:id="146"/>
      <w:r>
        <w:rPr>
          <w:rFonts w:hint="eastAsia" w:ascii="仿宋" w:hAnsi="仿宋" w:eastAsia="仿宋" w:cs="仿宋"/>
          <w:b/>
          <w:bCs/>
          <w:color w:val="auto"/>
          <w:sz w:val="44"/>
          <w:szCs w:val="44"/>
          <w:highlight w:val="none"/>
        </w:rPr>
        <w:t xml:space="preserve">文件格式</w:t>
      </w:r>
      <w:bookmarkEnd w:id="153"/>
      <w:r/>
      <w:bookmarkEnd w:id="154"/>
      <w:r/>
      <w:bookmarkEnd w:id="155"/>
      <w:r/>
      <w:r/>
    </w:p>
    <w:p>
      <w:pPr>
        <w:jc w:val="center"/>
        <w:rPr>
          <w:rFonts w:ascii="仿宋" w:hAnsi="仿宋" w:eastAsia="仿宋" w:cs="仿宋"/>
          <w:b/>
          <w:color w:val="auto"/>
          <w:sz w:val="72"/>
          <w:highlight w:val="none"/>
        </w:rPr>
      </w:pPr>
      <w:r/>
      <w:bookmarkStart w:id="156" w:name="_Hlt26671244"/>
      <w:r/>
      <w:bookmarkEnd w:id="156"/>
      <w:r/>
      <w:bookmarkStart w:id="157" w:name="_Hlt26955039"/>
      <w:r/>
      <w:bookmarkEnd w:id="157"/>
      <w:r/>
      <w:bookmarkStart w:id="158" w:name="_Toc120614282"/>
      <w:r/>
      <w:bookmarkStart w:id="159" w:name="_Toc49090576"/>
      <w:r/>
      <w:bookmarkStart w:id="160" w:name="_Toc26554094"/>
      <w:r/>
      <w:r/>
    </w:p>
    <w:p>
      <w:pPr>
        <w:jc w:val="center"/>
        <w:rPr>
          <w:rFonts w:ascii="仿宋" w:hAnsi="仿宋" w:eastAsia="仿宋" w:cs="仿宋"/>
          <w:b/>
          <w:color w:val="auto"/>
          <w:sz w:val="72"/>
          <w:highlight w:val="none"/>
        </w:rPr>
      </w:pPr>
      <w:r>
        <w:rPr>
          <w:rFonts w:ascii="仿宋" w:hAnsi="仿宋" w:eastAsia="仿宋" w:cs="仿宋"/>
          <w:b/>
          <w:color w:val="auto"/>
          <w:sz w:val="72"/>
          <w:highlight w:val="none"/>
        </w:rPr>
      </w:r>
      <w:r/>
    </w:p>
    <w:p>
      <w:pPr>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jc w:val="center"/>
        <w:rPr>
          <w:rFonts w:ascii="仿宋" w:hAnsi="仿宋" w:eastAsia="仿宋" w:cs="仿宋"/>
          <w:b/>
          <w:color w:val="auto"/>
          <w:sz w:val="72"/>
          <w:highlight w:val="none"/>
        </w:rPr>
      </w:pPr>
      <w:r>
        <w:rPr>
          <w:rFonts w:ascii="仿宋" w:hAnsi="仿宋" w:eastAsia="仿宋" w:cs="仿宋"/>
          <w:b/>
          <w:color w:val="auto"/>
          <w:sz w:val="72"/>
          <w:highlight w:val="none"/>
        </w:rPr>
      </w:r>
      <w:r/>
    </w:p>
    <w:p>
      <w:pPr>
        <w:jc w:val="center"/>
        <w:rPr>
          <w:rFonts w:ascii="仿宋" w:hAnsi="仿宋" w:eastAsia="仿宋" w:cs="仿宋"/>
          <w:b/>
          <w:color w:val="auto"/>
          <w:sz w:val="72"/>
          <w:highlight w:val="none"/>
        </w:rPr>
      </w:pPr>
      <w:r>
        <w:rPr>
          <w:rFonts w:ascii="仿宋" w:hAnsi="仿宋" w:eastAsia="仿宋" w:cs="仿宋"/>
          <w:b/>
          <w:color w:val="auto"/>
          <w:sz w:val="72"/>
          <w:highlight w:val="none"/>
        </w:rPr>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jc w:val="center"/>
        <w:rPr>
          <w:rFonts w:ascii="仿宋" w:hAnsi="仿宋" w:eastAsia="仿宋" w:cs="仿宋"/>
          <w:b/>
          <w:color w:val="auto"/>
          <w:sz w:val="36"/>
          <w:highlight w:val="none"/>
        </w:rPr>
      </w:pPr>
      <w:r>
        <w:rPr>
          <w:rFonts w:ascii="仿宋" w:hAnsi="仿宋" w:eastAsia="仿宋" w:cs="仿宋"/>
          <w:b/>
          <w:color w:val="auto"/>
          <w:sz w:val="36"/>
          <w:highlight w:val="none"/>
        </w:rPr>
      </w:r>
      <w:r/>
    </w:p>
    <w:p>
      <w:pPr>
        <w:ind w:firstLine="1084"/>
        <w:keepLines w:val="0"/>
        <w:keepNext w:val="0"/>
        <w:pageBreakBefore w:val="0"/>
        <w:spacing w:line="360" w:lineRule="auto"/>
        <w:widowControl w:val="off"/>
        <w:rPr>
          <w:rFonts w:ascii="仿宋" w:hAnsi="仿宋" w:eastAsia="仿宋" w:cs="仿宋"/>
          <w:b/>
          <w:color w:val="auto"/>
          <w:sz w:val="36"/>
          <w:highlight w:val="none"/>
        </w:rPr>
      </w:pPr>
      <w:r>
        <w:rPr>
          <w:rFonts w:hint="eastAsia" w:ascii="仿宋" w:hAnsi="仿宋" w:eastAsia="仿宋" w:cs="仿宋"/>
          <w:b/>
          <w:color w:val="auto"/>
          <w:sz w:val="36"/>
          <w:highlight w:val="none"/>
        </w:rPr>
        <w:t xml:space="preserve">采购包名称：</w:t>
      </w:r>
      <w:r/>
    </w:p>
    <w:p>
      <w:pPr>
        <w:ind w:firstLine="1084"/>
        <w:keepLines w:val="0"/>
        <w:keepNext w:val="0"/>
        <w:pageBreakBefore w:val="0"/>
        <w:spacing w:line="360" w:lineRule="auto"/>
        <w:widowControl w:val="off"/>
        <w:rPr>
          <w:rFonts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p>
    <w:p>
      <w:pPr>
        <w:keepLines w:val="0"/>
        <w:keepNext w:val="0"/>
        <w:pageBreakBefore w:val="0"/>
        <w:spacing w:line="360" w:lineRule="auto"/>
        <w:widowControl w:val="off"/>
        <w:rPr>
          <w:rFonts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投标人名称 ：</w:t>
      </w:r>
      <w:r>
        <w:rPr>
          <w:rFonts w:hint="eastAsia" w:ascii="仿宋" w:hAnsi="仿宋" w:eastAsia="仿宋" w:cs="仿宋"/>
          <w:b/>
          <w:color w:val="auto"/>
          <w:sz w:val="36"/>
          <w:highlight w:val="none"/>
          <w:u w:val="single"/>
        </w:rPr>
        <w:t xml:space="preserve">（加盖CA电子公章）</w:t>
      </w:r>
      <w:r/>
    </w:p>
    <w:p>
      <w:pPr>
        <w:keepLines w:val="0"/>
        <w:keepNext w:val="0"/>
        <w:pageBreakBefore w:val="0"/>
        <w:spacing w:line="360" w:lineRule="auto"/>
        <w:widowControl w:val="off"/>
        <w:rPr>
          <w:rFonts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spacing w:line="440" w:lineRule="exact"/>
        <w:rPr>
          <w:rFonts w:ascii="仿宋" w:hAnsi="仿宋" w:eastAsia="仿宋" w:cs="仿宋"/>
          <w:color w:val="auto"/>
          <w:highlight w:val="none"/>
        </w:rPr>
      </w:pPr>
      <w:r>
        <w:rPr>
          <w:rFonts w:ascii="仿宋" w:hAnsi="仿宋" w:eastAsia="仿宋" w:cs="仿宋"/>
          <w:color w:val="auto"/>
          <w:highlight w:val="none"/>
        </w:rPr>
      </w:r>
      <w:r/>
    </w:p>
    <w:p>
      <w:pPr>
        <w:ind w:firstLine="1084"/>
        <w:rPr>
          <w:rFonts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p>
    <w:p>
      <w:pPr>
        <w:jc w:val="center"/>
        <w:spacing w:line="440" w:lineRule="exact"/>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投标文件目录</w:t>
      </w:r>
      <w:r/>
    </w:p>
    <w:p>
      <w:pPr>
        <w:jc w:val="center"/>
        <w:spacing w:line="44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一、投标声明及承诺函</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二、投标人基本信息</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三、满足特定资格要求的证明文件（如果设置特定资格要求，则需要提供）</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四、法人授权书</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五、开标一览表</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、中小企业或残疾人福利性单位声明</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、技术要求响应及偏离表</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、项目服务方案</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、项目组成员</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十、企业业绩</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、负责人业绩</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二</w:t>
      </w:r>
      <w:r>
        <w:rPr>
          <w:rFonts w:hint="eastAsia" w:ascii="仿宋" w:hAnsi="仿宋" w:eastAsia="仿宋" w:cs="仿宋"/>
          <w:color w:val="auto"/>
          <w:sz w:val="28"/>
          <w:szCs w:val="28"/>
          <w:highlight w:val="none"/>
        </w:rPr>
        <w:t xml:space="preserve">、履约承诺函</w:t>
      </w:r>
      <w:r/>
    </w:p>
    <w:p>
      <w:pPr>
        <w:ind w:firstLine="560"/>
        <w:spacing w:line="60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十</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、投标所需其他材料</w:t>
      </w:r>
      <w:r/>
    </w:p>
    <w:p>
      <w:pPr>
        <w:rPr>
          <w:rFonts w:ascii="仿宋" w:hAnsi="仿宋" w:eastAsia="仿宋" w:cs="仿宋"/>
          <w:color w:val="auto"/>
          <w:highlight w:val="none"/>
        </w:rPr>
      </w:pPr>
      <w:r>
        <w:rPr>
          <w:rFonts w:ascii="仿宋" w:hAnsi="仿宋" w:eastAsia="仿宋" w:cs="仿宋"/>
          <w:color w:val="auto"/>
          <w:highlight w:val="none"/>
        </w:rPr>
      </w:r>
      <w:r/>
    </w:p>
    <w:p>
      <w:pPr>
        <w:ind w:firstLine="48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40" w:lineRule="exact"/>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highlight w:val="none"/>
        </w:rPr>
      </w:pPr>
      <w:r/>
      <w:bookmarkStart w:id="161" w:name="_Toc23838"/>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bookmarkEnd w:id="161"/>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一、</w:t>
      </w:r>
      <w:bookmarkEnd w:id="158"/>
      <w:r/>
      <w:bookmarkEnd w:id="159"/>
      <w:r/>
      <w:bookmarkEnd w:id="160"/>
      <w:r/>
      <w:bookmarkStart w:id="162" w:name="_Toc120614284"/>
      <w:r>
        <w:rPr>
          <w:rFonts w:hint="eastAsia" w:ascii="仿宋" w:hAnsi="仿宋" w:eastAsia="仿宋" w:cs="仿宋"/>
          <w:b/>
          <w:bCs/>
          <w:color w:val="auto"/>
          <w:sz w:val="32"/>
          <w:szCs w:val="32"/>
          <w:highlight w:val="none"/>
        </w:rPr>
        <w:t xml:space="preserve">投标声明及承诺函</w:t>
      </w:r>
      <w:r/>
    </w:p>
    <w:p>
      <w:pPr>
        <w:jc w:val="center"/>
        <w:spacing w:line="5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投标声明及承诺函</w:t>
      </w:r>
      <w:r/>
    </w:p>
    <w:p>
      <w:pPr>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宿迁市水务工程建设管理中心</w:t>
      </w:r>
      <w:r>
        <w:rPr>
          <w:rFonts w:hint="eastAsia" w:ascii="仿宋" w:hAnsi="仿宋" w:eastAsia="仿宋" w:cs="仿宋"/>
          <w:color w:val="auto"/>
          <w:sz w:val="24"/>
          <w:szCs w:val="24"/>
          <w:highlight w:val="none"/>
        </w:rPr>
        <w:t xml:space="preserve">：</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val="en-US" w:eastAsia="zh-CN"/>
        </w:rPr>
        <w:t xml:space="preserve">（采购包名称）（采购包号：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的招标文件，我方在参加本项目招投标活动中，特作出如下承诺：</w:t>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具备《中华人民共和国政府采购法》第二十二条第一款规定的6项条件。</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五、我方若违背本声明及承诺约定，经查实，自愿接受采购人及相关主管部门相应的规定处理，并依法承担相应的法律责任。</w:t>
      </w:r>
      <w:r/>
    </w:p>
    <w:p>
      <w:pPr>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六、我方同意采购人、采购代理机构将本声明及承诺函上网公开。</w:t>
      </w:r>
      <w:r/>
    </w:p>
    <w:p>
      <w:pPr>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2"/>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（加盖CA电子公章）</w:t>
      </w:r>
      <w:r/>
    </w:p>
    <w:p>
      <w:pPr>
        <w:ind w:firstLine="482"/>
        <w:spacing w:line="360" w:lineRule="auto"/>
        <w:rPr>
          <w:rFonts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jc w:val="left"/>
        <w:widowControl/>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980"/>
        <w:rPr>
          <w:rFonts w:ascii="仿宋" w:hAnsi="仿宋" w:eastAsia="仿宋" w:cs="仿宋"/>
          <w:color w:val="auto"/>
          <w:highlight w:val="none"/>
        </w:rPr>
        <w:outlineLvl w:val="1"/>
      </w:pPr>
      <w:r/>
      <w:bookmarkStart w:id="163" w:name="_Toc216777431"/>
      <w:r>
        <w:rPr>
          <w:rFonts w:hint="eastAsia" w:ascii="仿宋" w:hAnsi="仿宋" w:eastAsia="仿宋" w:cs="仿宋"/>
          <w:iCs/>
          <w:color w:val="auto"/>
          <w:szCs w:val="32"/>
          <w:highlight w:val="none"/>
        </w:rPr>
        <w:t xml:space="preserve">二</w:t>
      </w:r>
      <w:r>
        <w:rPr>
          <w:rFonts w:hint="eastAsia" w:ascii="仿宋" w:hAnsi="仿宋" w:eastAsia="仿宋" w:cs="仿宋"/>
          <w:color w:val="auto"/>
          <w:highlight w:val="none"/>
        </w:rPr>
        <w:t xml:space="preserve">、投标人基本信息</w:t>
      </w:r>
      <w:bookmarkEnd w:id="163"/>
      <w:r/>
      <w:r/>
    </w:p>
    <w:p>
      <w:pPr>
        <w:pStyle w:val="981"/>
        <w:jc w:val="center"/>
        <w:rPr>
          <w:rFonts w:ascii="仿宋" w:hAnsi="仿宋" w:eastAsia="仿宋" w:cs="仿宋"/>
          <w:color w:val="auto"/>
          <w:sz w:val="32"/>
          <w:szCs w:val="24"/>
          <w:highlight w:val="none"/>
        </w:rPr>
      </w:pPr>
      <w:r>
        <w:rPr>
          <w:rFonts w:ascii="仿宋" w:hAnsi="仿宋" w:eastAsia="仿宋" w:cs="仿宋"/>
          <w:color w:val="auto"/>
          <w:sz w:val="32"/>
          <w:szCs w:val="24"/>
          <w:highlight w:val="none"/>
        </w:rPr>
      </w:r>
      <w:r/>
    </w:p>
    <w:p>
      <w:pPr>
        <w:pStyle w:val="981"/>
        <w:jc w:val="center"/>
        <w:rPr>
          <w:rFonts w:ascii="仿宋" w:hAnsi="仿宋" w:eastAsia="仿宋" w:cs="仿宋"/>
          <w:color w:val="auto"/>
          <w:sz w:val="32"/>
          <w:szCs w:val="24"/>
          <w:highlight w:val="none"/>
        </w:rPr>
      </w:pPr>
      <w:r>
        <w:rPr>
          <w:rFonts w:hint="eastAsia" w:ascii="仿宋" w:hAnsi="仿宋" w:eastAsia="仿宋" w:cs="仿宋"/>
          <w:color w:val="auto"/>
          <w:sz w:val="32"/>
          <w:szCs w:val="24"/>
          <w:highlight w:val="none"/>
        </w:rPr>
        <w:t xml:space="preserve">投标人基本情况表</w:t>
      </w:r>
      <w:r/>
    </w:p>
    <w:tbl>
      <w:tblPr>
        <w:tblStyle w:val="771"/>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投标人类别</w:t>
            </w:r>
            <w:r/>
          </w:p>
        </w:tc>
        <w:tc>
          <w:tcPr>
            <w:gridSpan w:val="3"/>
            <w:tcW w:w="699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Pr>
        <w:tc>
          <w:tcPr>
            <w:tcW w:w="152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tcPr>
          <w:p>
            <w:pPr>
              <w:pStyle w:val="981"/>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2376"/>
        </w:trPr>
        <w:tc>
          <w:tcPr>
            <w:tcW w:w="1526" w:type="dxa"/>
            <w:vAlign w:val="center"/>
            <w:textDirection w:val="lrTb"/>
            <w:noWrap/>
          </w:tcPr>
          <w:p>
            <w:pPr>
              <w:pStyle w:val="981"/>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center"/>
            <w:textDirection w:val="lrTb"/>
            <w:noWrap/>
          </w:tcPr>
          <w:p>
            <w:pPr>
              <w:pStyle w:val="981"/>
              <w:ind w:firstLine="1433"/>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1134"/>
        </w:trPr>
        <w:tc>
          <w:tcPr>
            <w:tcW w:w="1526" w:type="dxa"/>
            <w:vAlign w:val="center"/>
            <w:textDirection w:val="lrTb"/>
            <w:noWrap/>
          </w:tcPr>
          <w:p>
            <w:pPr>
              <w:pStyle w:val="981"/>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998" w:type="dxa"/>
            <w:vAlign w:val="center"/>
            <w:textDirection w:val="lrTb"/>
            <w:noWrap/>
          </w:tcPr>
          <w:p>
            <w:pPr>
              <w:pStyle w:val="981"/>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jc w:val="left"/>
        <w:spacing w:before="120" w:after="120"/>
        <w:rPr>
          <w:rFonts w:ascii="仿宋" w:hAnsi="仿宋" w:eastAsia="仿宋" w:cs="仿宋"/>
          <w:i/>
          <w:color w:val="auto"/>
          <w:sz w:val="32"/>
          <w:szCs w:val="32"/>
          <w:highlight w:val="none"/>
          <w:u w:val="single"/>
        </w:rPr>
        <w:outlineLvl w:val="1"/>
      </w:pPr>
      <w:r>
        <w:rPr>
          <w:rFonts w:hint="eastAsia" w:ascii="仿宋" w:hAnsi="仿宋" w:eastAsia="仿宋" w:cs="仿宋"/>
          <w:color w:val="auto"/>
          <w:highlight w:val="none"/>
        </w:rPr>
        <w:br w:type="page" w:clear="all"/>
      </w:r>
      <w:r>
        <w:rPr>
          <w:rFonts w:hint="eastAsia" w:ascii="仿宋" w:hAnsi="仿宋" w:eastAsia="仿宋" w:cs="仿宋"/>
          <w:b/>
          <w:bCs/>
          <w:color w:val="auto"/>
          <w:sz w:val="32"/>
          <w:szCs w:val="32"/>
          <w:highlight w:val="none"/>
        </w:rPr>
        <w:t xml:space="preserve">三、特定资格要求的证明文件</w:t>
      </w:r>
      <w:r/>
    </w:p>
    <w:p>
      <w:pPr>
        <w:spacing w:line="460" w:lineRule="exact"/>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    如果本项目申请人的特定资格要求中要求提供的，必须提供。</w:t>
      </w:r>
      <w:r/>
    </w:p>
    <w:p>
      <w:pPr>
        <w:spacing w:line="46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rPr>
          <w:rFonts w:ascii="仿宋" w:hAnsi="仿宋" w:eastAsia="仿宋" w:cs="仿宋"/>
          <w:i/>
          <w:color w:val="auto"/>
          <w:highlight w:val="none"/>
          <w:u w:val="single"/>
        </w:rPr>
      </w:pPr>
      <w:r>
        <w:rPr>
          <w:rFonts w:ascii="仿宋" w:hAnsi="仿宋" w:eastAsia="仿宋" w:cs="仿宋"/>
          <w:i/>
          <w:color w:val="auto"/>
          <w:highlight w:val="none"/>
          <w:u w:val="single"/>
        </w:rPr>
      </w:r>
      <w:r/>
    </w:p>
    <w:p>
      <w:pPr>
        <w:rPr>
          <w:rFonts w:ascii="仿宋" w:hAnsi="仿宋" w:eastAsia="仿宋" w:cs="仿宋"/>
          <w:i/>
          <w:color w:val="auto"/>
          <w:highlight w:val="none"/>
          <w:u w:val="single"/>
        </w:rPr>
      </w:pPr>
      <w:r>
        <w:rPr>
          <w:rFonts w:ascii="仿宋" w:hAnsi="仿宋" w:eastAsia="仿宋" w:cs="仿宋"/>
          <w:i/>
          <w:color w:val="auto"/>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jc w:val="center"/>
        <w:rPr>
          <w:rFonts w:ascii="仿宋" w:hAnsi="仿宋" w:eastAsia="仿宋" w:cs="仿宋"/>
          <w:i/>
          <w:color w:val="auto"/>
          <w:sz w:val="32"/>
          <w:szCs w:val="32"/>
          <w:highlight w:val="none"/>
          <w:u w:val="single"/>
        </w:rPr>
      </w:pPr>
      <w:r>
        <w:rPr>
          <w:rFonts w:ascii="仿宋" w:hAnsi="仿宋" w:eastAsia="仿宋" w:cs="仿宋"/>
          <w:i/>
          <w:color w:val="auto"/>
          <w:sz w:val="32"/>
          <w:szCs w:val="32"/>
          <w:highlight w:val="none"/>
          <w:u w:val="single"/>
        </w:rPr>
      </w:r>
      <w:r/>
    </w:p>
    <w:p>
      <w:pPr>
        <w:rPr>
          <w:rFonts w:ascii="仿宋" w:hAnsi="仿宋" w:eastAsia="仿宋" w:cs="仿宋"/>
          <w:b/>
          <w:color w:val="auto"/>
          <w:sz w:val="32"/>
          <w:szCs w:val="32"/>
          <w:highlight w:val="none"/>
        </w:rPr>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仿宋"/>
          <w:b/>
          <w:color w:val="auto"/>
          <w:sz w:val="32"/>
          <w:szCs w:val="32"/>
          <w:highlight w:val="none"/>
        </w:rPr>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四、法人授权书</w:t>
      </w:r>
      <w:r/>
    </w:p>
    <w:p>
      <w:p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法人授权书</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本授权书声明：____________（投标人名称）授权________________（被授权人的姓名）为我方就</w:t>
      </w:r>
      <w:r>
        <w:rPr>
          <w:rFonts w:hint="eastAsia" w:ascii="仿宋" w:hAnsi="仿宋" w:eastAsia="仿宋" w:cs="仿宋"/>
          <w:color w:val="auto"/>
          <w:sz w:val="24"/>
          <w:szCs w:val="24"/>
          <w:highlight w:val="none"/>
          <w:u w:val="single"/>
          <w:lang w:eastAsia="zh-CN"/>
        </w:rPr>
        <w:t xml:space="preserve">JSZC-321300-SSZJ-G2026-0002</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（采购包名称）（采购包号：</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采购活动的合法代理人，以本单位名义全权处理一切与该项目采购有关的事务。</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本授权书于______年____月____日起生效，特此声明。</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p>
    <w:p>
      <w:pPr>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p>
    <w:p>
      <w:pPr>
        <w:ind w:firstLine="120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360" w:lineRule="auto"/>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bookmarkStart w:id="164" w:name="_格式3__银行出具的资信证明"/>
      <w:r/>
      <w:bookmarkEnd w:id="164"/>
      <w:r/>
      <w:bookmarkStart w:id="165" w:name="_Hlt26671380"/>
      <w:r/>
      <w:bookmarkEnd w:id="165"/>
      <w:r/>
      <w:bookmarkStart w:id="166" w:name="_Hlt26955070"/>
      <w:r/>
      <w:bookmarkEnd w:id="166"/>
      <w:r/>
      <w:r/>
    </w:p>
    <w:p>
      <w:pPr>
        <w:spacing w:line="360" w:lineRule="auto"/>
        <w:rPr>
          <w:rFonts w:ascii="仿宋" w:hAnsi="仿宋" w:eastAsia="仿宋" w:cs="仿宋"/>
          <w:i/>
          <w:color w:val="auto"/>
          <w:sz w:val="24"/>
          <w:szCs w:val="24"/>
          <w:highlight w:val="none"/>
          <w:u w:val="single"/>
        </w:rPr>
      </w:pPr>
      <w:r>
        <w:rPr>
          <w:rFonts w:ascii="仿宋" w:hAnsi="仿宋" w:eastAsia="仿宋" w:cs="仿宋"/>
          <w:i/>
          <w:color w:val="auto"/>
          <w:sz w:val="24"/>
          <w:szCs w:val="24"/>
          <w:highlight w:val="none"/>
          <w:u w:val="single"/>
        </w:rPr>
      </w:r>
      <w:r/>
    </w:p>
    <w:p>
      <w:pPr>
        <w:rPr>
          <w:rFonts w:ascii="仿宋" w:hAnsi="仿宋" w:eastAsia="仿宋" w:cs="仿宋"/>
          <w:color w:val="auto"/>
          <w:highlight w:val="none"/>
        </w:rPr>
      </w:pPr>
      <w:r>
        <w:rPr>
          <w:rFonts w:ascii="仿宋" w:hAnsi="仿宋" w:eastAsia="仿宋" w:cs="仿宋"/>
          <w:color w:val="auto"/>
          <w:highlight w:val="none"/>
        </w:rPr>
      </w:r>
      <w:r/>
    </w:p>
    <w:p>
      <w:pPr>
        <w:spacing w:line="460" w:lineRule="exact"/>
        <w:rPr>
          <w:rFonts w:ascii="仿宋" w:hAnsi="仿宋" w:eastAsia="仿宋" w:cs="仿宋"/>
          <w:bCs/>
          <w:color w:val="auto"/>
          <w:sz w:val="24"/>
          <w:highlight w:val="none"/>
        </w:rPr>
      </w:pPr>
      <w:r>
        <w:rPr>
          <w:rFonts w:ascii="仿宋" w:hAnsi="仿宋" w:eastAsia="仿宋" w:cs="仿宋"/>
          <w:bCs/>
          <w:color w:val="auto"/>
          <w:sz w:val="24"/>
          <w:highlight w:val="none"/>
        </w:rPr>
      </w:r>
      <w:r/>
    </w:p>
    <w:p>
      <w:pPr>
        <w:numPr>
          <w:ilvl w:val="0"/>
          <w:numId w:val="0"/>
        </w:numPr>
        <w:jc w:val="left"/>
        <w:spacing w:before="120" w:after="120"/>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Cs/>
          <w:color w:val="auto"/>
          <w:sz w:val="24"/>
          <w:highlight w:val="none"/>
        </w:rPr>
        <w:br w:type="page" w:clear="all"/>
      </w:r>
      <w:r>
        <w:rPr>
          <w:rFonts w:hint="eastAsia" w:ascii="仿宋" w:hAnsi="仿宋" w:eastAsia="仿宋" w:cs="仿宋"/>
          <w:b/>
          <w:bCs/>
          <w:color w:val="auto"/>
          <w:sz w:val="32"/>
          <w:szCs w:val="32"/>
          <w:lang w:val="en-US" w:eastAsia="zh-CN" w:bidi="ar-SA"/>
        </w:rPr>
        <w:t xml:space="preserve">五、</w:t>
      </w:r>
      <w:r>
        <w:rPr>
          <w:rFonts w:hint="eastAsia" w:ascii="仿宋" w:hAnsi="仿宋" w:eastAsia="仿宋" w:cs="仿宋"/>
          <w:b/>
          <w:bCs/>
          <w:color w:val="auto"/>
          <w:sz w:val="32"/>
          <w:szCs w:val="32"/>
          <w:highlight w:val="none"/>
        </w:rPr>
        <w:t xml:space="preserve">开标一览表</w:t>
      </w:r>
      <w:r/>
    </w:p>
    <w:p>
      <w:pPr>
        <w:pStyle w:val="772"/>
        <w:numPr>
          <w:ilvl w:val="0"/>
          <w:numId w:val="0"/>
        </w:num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Style w:val="772"/>
        <w:numPr>
          <w:ilvl w:val="0"/>
          <w:numId w:val="0"/>
        </w:numPr>
        <w:jc w:val="center"/>
        <w:rPr>
          <w:rFonts w:hint="default"/>
          <w:lang w:val="en-US" w:eastAsia="zh-CN"/>
        </w:rPr>
      </w:pPr>
      <w:r>
        <w:rPr>
          <w:rFonts w:hint="eastAsia" w:ascii="仿宋" w:hAnsi="仿宋" w:eastAsia="仿宋" w:cs="仿宋"/>
          <w:b/>
          <w:bCs/>
          <w:color w:val="auto"/>
          <w:sz w:val="32"/>
          <w:szCs w:val="32"/>
          <w:highlight w:val="none"/>
        </w:rPr>
        <w:t xml:space="preserve">开标一览表</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 xml:space="preserve">采购包名称：</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u w:val="single"/>
          <w:lang w:val="en-US" w:eastAsia="zh-CN"/>
        </w:rPr>
        <w:t xml:space="preserve">                    </w:t>
      </w:r>
      <w:r/>
    </w:p>
    <w:p>
      <w:pPr>
        <w:ind w:firstLine="48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采购包号：</w:t>
      </w:r>
      <w:r>
        <w:rPr>
          <w:rFonts w:hint="eastAsia" w:ascii="仿宋" w:hAnsi="仿宋" w:eastAsia="仿宋" w:cs="仿宋"/>
          <w:color w:val="auto"/>
          <w:sz w:val="24"/>
          <w:szCs w:val="24"/>
          <w:highlight w:val="none"/>
          <w:u w:val="single"/>
          <w:lang w:val="en-US" w:eastAsia="zh-CN"/>
        </w:rPr>
        <w:t xml:space="preserve">                    </w:t>
      </w:r>
      <w:r/>
    </w:p>
    <w:tbl>
      <w:tblPr>
        <w:tblStyle w:val="7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7155"/>
      </w:tblGrid>
      <w:tr>
        <w:trPr>
          <w:trHeight w:val="772"/>
        </w:trPr>
        <w:tc>
          <w:tcPr>
            <w:gridSpan w:val="2"/>
            <w:tcW w:w="9051" w:type="dxa"/>
            <w:vAlign w:val="center"/>
            <w:textDirection w:val="lrTb"/>
            <w:noWrap/>
          </w:tcPr>
          <w:p>
            <w:pPr>
              <w:jc w:val="center"/>
              <w:spacing w:line="500" w:lineRule="exact"/>
              <w:rPr>
                <w:rFonts w:hint="eastAsia" w:ascii="仿宋" w:hAnsi="仿宋" w:eastAsia="仿宋" w:cs="仿宋"/>
                <w:color w:val="auto"/>
                <w:sz w:val="24"/>
                <w:szCs w:val="24"/>
                <w:highlight w:val="none"/>
                <w:lang w:eastAsia="zh-CN"/>
              </w:rPr>
            </w:pPr>
            <w:r>
              <w:rPr>
                <w:rFonts w:ascii="宋体" w:hAnsi="宋体" w:eastAsia="宋体" w:cs="宋体"/>
                <w:sz w:val="24"/>
                <w:szCs w:val="24"/>
              </w:rPr>
              <w:t xml:space="preserve">投标报价</w:t>
            </w:r>
            <w:r>
              <w:rPr>
                <w:rFonts w:hint="eastAsia" w:ascii="宋体" w:hAnsi="宋体" w:eastAsia="宋体" w:cs="宋体"/>
                <w:sz w:val="24"/>
                <w:szCs w:val="24"/>
                <w:lang w:eastAsia="zh-CN"/>
              </w:rPr>
              <w:t xml:space="preserve">（</w:t>
            </w:r>
            <w:r>
              <w:rPr>
                <w:rFonts w:hint="eastAsia" w:ascii="仿宋" w:hAnsi="仿宋" w:eastAsia="仿宋" w:cs="仿宋"/>
                <w:b/>
                <w:color w:val="auto"/>
                <w:sz w:val="24"/>
                <w:highlight w:val="none"/>
              </w:rPr>
              <w:t xml:space="preserve">优惠率</w:t>
            </w:r>
            <w:r>
              <w:rPr>
                <w:rFonts w:hint="eastAsia" w:ascii="宋体" w:hAnsi="宋体" w:eastAsia="宋体" w:cs="宋体"/>
                <w:sz w:val="24"/>
                <w:szCs w:val="24"/>
                <w:lang w:eastAsia="zh-CN"/>
              </w:rPr>
              <w:t xml:space="preserve">）</w:t>
            </w:r>
            <w:r>
              <w:rPr>
                <w:rFonts w:ascii="宋体" w:hAnsi="宋体" w:eastAsia="宋体" w:cs="宋体"/>
                <w:sz w:val="24"/>
                <w:szCs w:val="24"/>
              </w:rPr>
              <w:t xml:space="preserve">（单位：%）</w:t>
            </w:r>
            <w:r/>
          </w:p>
        </w:tc>
      </w:tr>
      <w:tr>
        <w:trPr>
          <w:trHeight w:val="1166"/>
        </w:trPr>
        <w:tc>
          <w:tcPr>
            <w:tcBorders>
              <w:right w:val="single" w:color="auto" w:sz="4" w:space="0"/>
            </w:tcBorders>
            <w:tcW w:w="1896" w:type="dxa"/>
            <w:vAlign w:val="center"/>
            <w:textDirection w:val="lrTb"/>
            <w:noWrap/>
          </w:tcPr>
          <w:p>
            <w:pPr>
              <w:spacing w:line="500" w:lineRule="exact"/>
              <w:rPr>
                <w:rFonts w:ascii="仿宋" w:hAnsi="仿宋" w:eastAsia="仿宋" w:cs="仿宋"/>
                <w:color w:val="auto"/>
                <w:sz w:val="24"/>
                <w:szCs w:val="24"/>
                <w:highlight w:val="none"/>
              </w:rPr>
            </w:pPr>
            <w:r>
              <w:rPr>
                <w:rFonts w:ascii="宋体" w:hAnsi="宋体" w:eastAsia="宋体" w:cs="宋体"/>
                <w:sz w:val="24"/>
                <w:szCs w:val="24"/>
              </w:rPr>
              <w:t xml:space="preserve">报价</w:t>
            </w:r>
            <w:r/>
          </w:p>
        </w:tc>
        <w:tc>
          <w:tcPr>
            <w:tcBorders>
              <w:left w:val="single" w:color="auto" w:sz="4" w:space="0"/>
            </w:tcBorders>
            <w:tcW w:w="7155" w:type="dxa"/>
            <w:vAlign w:val="center"/>
            <w:textDirection w:val="lrTb"/>
            <w:noWrap/>
          </w:tcPr>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w:t>
            </w:r>
            <w:r/>
          </w:p>
        </w:tc>
      </w:tr>
    </w:tbl>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w:t>
      </w:r>
      <w:r>
        <w:rPr>
          <w:rFonts w:hint="eastAsia" w:ascii="仿宋" w:hAnsi="仿宋" w:eastAsia="仿宋" w:cs="仿宋"/>
          <w:color w:val="auto"/>
          <w:sz w:val="24"/>
          <w:szCs w:val="24"/>
          <w:highlight w:val="none"/>
          <w:lang w:val="en-US" w:eastAsia="zh-CN"/>
        </w:rPr>
        <w:t xml:space="preserve">人</w:t>
      </w:r>
      <w:r>
        <w:rPr>
          <w:rFonts w:hint="eastAsia" w:ascii="仿宋" w:hAnsi="仿宋" w:eastAsia="仿宋" w:cs="仿宋"/>
          <w:color w:val="auto"/>
          <w:sz w:val="24"/>
          <w:szCs w:val="24"/>
          <w:highlight w:val="none"/>
        </w:rPr>
        <w:t xml:space="preserve">(CA签章）：</w:t>
      </w:r>
      <w:r/>
    </w:p>
    <w:p>
      <w:pPr>
        <w:pStyle w:val="772"/>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2"/>
        <w:ind w:left="0" w:firstLine="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p>
      <w:pPr>
        <w:pStyle w:val="772"/>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772"/>
        <w:ind w:firstLine="561"/>
        <w:keepLines w:val="0"/>
        <w:keepNext w:val="0"/>
        <w:pageBreakBefore w:val="0"/>
        <w:spacing w:line="360" w:lineRule="auto"/>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772"/>
        <w:ind w:firstLine="561"/>
        <w:keepLines w:val="0"/>
        <w:keepNext w:val="0"/>
        <w:pageBreakBefore w:val="0"/>
        <w:spacing w:line="360" w:lineRule="auto"/>
        <w:widowControl w:val="off"/>
        <w:rPr>
          <w:rFonts w:ascii="仿宋" w:hAnsi="仿宋" w:eastAsia="仿宋" w:cs="仿宋"/>
          <w:b/>
          <w:bCs/>
          <w:color w:val="auto"/>
          <w:sz w:val="32"/>
          <w:szCs w:val="32"/>
          <w:highlight w:val="none"/>
        </w:rPr>
      </w:pPr>
      <w:r>
        <w:rPr>
          <w:rFonts w:hint="eastAsia" w:ascii="仿宋" w:hAnsi="仿宋" w:eastAsia="仿宋" w:cs="仿宋"/>
          <w:b/>
          <w:color w:val="auto"/>
          <w:sz w:val="30"/>
          <w:szCs w:val="30"/>
          <w:highlight w:val="none"/>
        </w:rPr>
        <w:t xml:space="preserve">注：</w:t>
      </w:r>
      <w:r>
        <w:rPr>
          <w:rFonts w:hint="eastAsia" w:ascii="仿宋" w:hAnsi="仿宋" w:eastAsia="仿宋" w:cs="仿宋"/>
          <w:b/>
          <w:bCs/>
          <w:color w:val="auto"/>
          <w:sz w:val="30"/>
          <w:szCs w:val="30"/>
          <w:highlight w:val="none"/>
          <w:lang w:val="en-US" w:eastAsia="zh-CN" w:bidi="ar-SA"/>
        </w:rPr>
        <w:t xml:space="preserve">苏采云系统开标一览表中的投标报价为“优惠率”的费率，请各投标人填写报价时务必注意。</w:t>
      </w:r>
      <w:r>
        <w:rPr>
          <w:rFonts w:hint="eastAsia" w:ascii="仿宋" w:hAnsi="仿宋" w:eastAsia="仿宋" w:cs="仿宋"/>
          <w:b/>
          <w:bCs/>
          <w:color w:val="auto"/>
          <w:sz w:val="30"/>
          <w:szCs w:val="30"/>
          <w:highlight w:val="none"/>
        </w:rPr>
        <w:t xml:space="preserve">以系统中格式为准，投标人按要求进行填报（例如:</w:t>
      </w:r>
      <w:r>
        <w:rPr>
          <w:rFonts w:hint="eastAsia" w:ascii="仿宋" w:hAnsi="仿宋" w:eastAsia="仿宋" w:cs="仿宋"/>
          <w:b/>
          <w:bCs/>
          <w:color w:val="auto"/>
          <w:sz w:val="30"/>
          <w:szCs w:val="30"/>
          <w:highlight w:val="none"/>
          <w:lang w:val="en-US" w:eastAsia="zh-CN"/>
        </w:rPr>
        <w:t xml:space="preserve">若开标一览表</w:t>
      </w:r>
      <w:r>
        <w:rPr>
          <w:rFonts w:hint="eastAsia" w:ascii="仿宋" w:hAnsi="仿宋" w:eastAsia="仿宋" w:cs="仿宋"/>
          <w:b/>
          <w:bCs/>
          <w:color w:val="auto"/>
          <w:sz w:val="30"/>
          <w:szCs w:val="30"/>
          <w:highlight w:val="none"/>
        </w:rPr>
        <w:t xml:space="preserve">填报的</w:t>
      </w:r>
      <w:r>
        <w:rPr>
          <w:rFonts w:hint="eastAsia" w:ascii="仿宋" w:hAnsi="仿宋" w:eastAsia="仿宋" w:cs="仿宋"/>
          <w:b/>
          <w:bCs/>
          <w:color w:val="auto"/>
          <w:sz w:val="30"/>
          <w:szCs w:val="30"/>
          <w:highlight w:val="none"/>
          <w:lang w:val="en-US" w:eastAsia="zh-CN"/>
        </w:rPr>
        <w:t xml:space="preserve">报价（</w:t>
      </w:r>
      <w:r>
        <w:rPr>
          <w:rFonts w:hint="eastAsia" w:ascii="仿宋" w:hAnsi="仿宋" w:eastAsia="仿宋" w:cs="仿宋"/>
          <w:b/>
          <w:bCs/>
          <w:color w:val="auto"/>
          <w:sz w:val="30"/>
          <w:szCs w:val="30"/>
          <w:highlight w:val="none"/>
        </w:rPr>
        <w:t xml:space="preserve">优惠率</w:t>
      </w:r>
      <w:r>
        <w:rPr>
          <w:rFonts w:hint="eastAsia" w:ascii="仿宋" w:hAnsi="仿宋" w:eastAsia="仿宋" w:cs="仿宋"/>
          <w:b/>
          <w:bCs/>
          <w:color w:val="auto"/>
          <w:sz w:val="30"/>
          <w:szCs w:val="30"/>
          <w:highlight w:val="none"/>
          <w:lang w:val="en-US" w:eastAsia="zh-CN"/>
        </w:rPr>
        <w:t xml:space="preserve">）</w:t>
      </w:r>
      <w:r>
        <w:rPr>
          <w:rFonts w:hint="eastAsia" w:ascii="仿宋" w:hAnsi="仿宋" w:eastAsia="仿宋" w:cs="仿宋"/>
          <w:b/>
          <w:bCs/>
          <w:color w:val="auto"/>
          <w:sz w:val="30"/>
          <w:szCs w:val="30"/>
          <w:highlight w:val="none"/>
        </w:rPr>
        <w:t xml:space="preserve">为10%，则投标费率即为“初步设计批复概算中相应建设征地移民安置监督评估费的90%”）。</w:t>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br w:type="page" w:clear="all"/>
      </w:r>
      <w:r/>
    </w:p>
    <w:p>
      <w:pPr>
        <w:ind w:left="0" w:firstLine="883"/>
        <w:jc w:val="center"/>
        <w:keepLines w:val="0"/>
        <w:keepNext w:val="0"/>
        <w:pageBreakBefore w:val="0"/>
        <w:widowControl w:val="off"/>
        <w:rPr>
          <w:rFonts w:hint="eastAsia" w:ascii="仿宋" w:hAnsi="仿宋" w:eastAsia="仿宋" w:cs="仿宋"/>
          <w:b/>
          <w:bCs/>
          <w:color w:val="auto"/>
          <w:sz w:val="44"/>
          <w:szCs w:val="44"/>
          <w:highlight w:val="none"/>
          <w:lang w:val="en-US" w:eastAsia="zh-CN"/>
        </w:rPr>
      </w:pPr>
      <w:r>
        <w:rPr>
          <w:rFonts w:hint="eastAsia" w:ascii="仿宋" w:hAnsi="仿宋" w:eastAsia="仿宋" w:cs="仿宋"/>
          <w:b/>
          <w:bCs/>
          <w:color w:val="auto"/>
          <w:sz w:val="44"/>
          <w:szCs w:val="44"/>
          <w:highlight w:val="none"/>
          <w:lang w:val="en-US" w:eastAsia="zh-CN"/>
        </w:rPr>
        <w:t xml:space="preserve">投标报价说明</w:t>
      </w:r>
      <w:r/>
    </w:p>
    <w:p>
      <w:pPr>
        <w:ind w:left="0"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r>
      <w:r/>
    </w:p>
    <w:p>
      <w:pPr>
        <w:numPr>
          <w:ilvl w:val="0"/>
          <w:numId w:val="4"/>
        </w:numPr>
        <w:ind w:left="0"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因苏采云系统中可供选择的报价方式限制，系统“开标一览表”中的投标报价为“优惠率”的费率，请各投标人填写报价时务必注意。</w:t>
      </w:r>
      <w:r/>
    </w:p>
    <w:p>
      <w:pPr>
        <w:numPr>
          <w:ilvl w:val="0"/>
          <w:numId w:val="0"/>
        </w:numPr>
        <w:ind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2、投标人的投标报价以苏采云系统中格式为准，投标人按要求进行填报。</w:t>
      </w:r>
      <w:r/>
    </w:p>
    <w:p>
      <w:pPr>
        <w:ind w:left="0" w:firstLine="643"/>
        <w:jc w:val="left"/>
        <w:keepLines w:val="0"/>
        <w:keepNext w:val="0"/>
        <w:pageBreakBefore w:val="0"/>
        <w:spacing w:line="360" w:lineRule="auto"/>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3、中标单位的签约合同价应为“初步设计批复概算中相应建设征地移民安置监督评估费的[1-优惠率(%)]”。例如:若系统中“开标一览表”填报的优惠率为10%，</w:t>
      </w:r>
      <w:r>
        <w:rPr>
          <w:rFonts w:hint="eastAsia" w:ascii="仿宋" w:hAnsi="仿宋" w:eastAsia="仿宋" w:cs="仿宋"/>
          <w:b/>
          <w:bCs/>
          <w:color w:val="auto"/>
          <w:sz w:val="30"/>
          <w:szCs w:val="30"/>
          <w:highlight w:val="none"/>
        </w:rPr>
        <w:t xml:space="preserve">则</w:t>
      </w:r>
      <w:r>
        <w:rPr>
          <w:rFonts w:hint="eastAsia" w:ascii="仿宋" w:hAnsi="仿宋" w:eastAsia="仿宋" w:cs="仿宋"/>
          <w:b/>
          <w:bCs/>
          <w:color w:val="auto"/>
          <w:sz w:val="32"/>
          <w:szCs w:val="32"/>
          <w:highlight w:val="none"/>
          <w:lang w:val="en-US" w:eastAsia="zh-CN"/>
        </w:rPr>
        <w:t xml:space="preserve">签约合同价为“初步设计批复概算中相应建设征地移民安置监督评估费的90%”。</w:t>
      </w:r>
      <w:r>
        <w:rPr>
          <w:rFonts w:hint="eastAsia" w:ascii="仿宋" w:hAnsi="仿宋" w:eastAsia="仿宋" w:cs="仿宋"/>
          <w:b/>
          <w:bCs/>
          <w:color w:val="auto"/>
          <w:sz w:val="32"/>
          <w:szCs w:val="32"/>
          <w:highlight w:val="none"/>
          <w:lang w:val="en-US" w:eastAsia="zh-CN"/>
        </w:rPr>
        <w:br w:type="page" w:clear="all"/>
      </w:r>
      <w:r/>
    </w:p>
    <w:p>
      <w:pPr>
        <w:jc w:val="left"/>
        <w:spacing w:before="120" w:after="120"/>
        <w:rPr>
          <w:rFonts w:ascii="仿宋" w:hAnsi="仿宋" w:eastAsia="仿宋" w:cs="仿宋"/>
          <w:color w:val="auto"/>
          <w:sz w:val="32"/>
          <w:szCs w:val="32"/>
          <w:highlight w:val="none"/>
        </w:rPr>
        <w:outlineLvl w:val="1"/>
      </w:pPr>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、中小企业或残疾人福利性单位声明函</w:t>
      </w:r>
      <w:r/>
    </w:p>
    <w:p>
      <w:pPr>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中小微企业声明函（服务类项目）</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采购包名称</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（采购包号：</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w:t>
      </w:r>
      <w:r>
        <w:rPr>
          <w:rFonts w:hint="eastAsia" w:ascii="仿宋" w:hAnsi="仿宋" w:eastAsia="仿宋" w:cs="仿宋"/>
          <w:color w:val="auto"/>
          <w:sz w:val="24"/>
          <w:szCs w:val="24"/>
          <w:highlight w:val="none"/>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其他未列明行业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480"/>
        <w:spacing w:line="500" w:lineRule="exact"/>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其他未列明行业</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 □小型企业 □微型企业）；</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480"/>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jc w:val="righ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6960"/>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p>
    <w:p>
      <w:pPr>
        <w:ind w:firstLine="24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w:t>
      </w:r>
      <w:r/>
    </w:p>
    <w:p>
      <w:pPr>
        <w:ind w:firstLine="480"/>
        <w:spacing w:line="4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2.符合报价折扣情形的请将此函填报上传至“企业报价折扣证明”一栏中。</w:t>
      </w:r>
      <w:r/>
    </w:p>
    <w:p>
      <w:pPr>
        <w:ind w:firstLine="480"/>
        <w:spacing w:line="400" w:lineRule="exact"/>
        <w:rPr>
          <w:rFonts w:ascii="仿宋" w:hAnsi="仿宋" w:eastAsia="仿宋" w:cs="仿宋"/>
          <w:color w:val="auto"/>
          <w:sz w:val="22"/>
          <w:szCs w:val="21"/>
          <w:highlight w:val="none"/>
        </w:rPr>
      </w:pPr>
      <w:r>
        <w:rPr>
          <w:rFonts w:hint="eastAsia" w:ascii="仿宋" w:hAnsi="仿宋" w:eastAsia="仿宋" w:cs="仿宋"/>
          <w:color w:val="auto"/>
          <w:sz w:val="24"/>
          <w:szCs w:val="24"/>
          <w:highlight w:val="none"/>
        </w:rPr>
        <w:t xml:space="preserve">3.对照《工业和信息化部、国家统计局、国家发展和改革委员会、财政部关于印发中小企业划型标准规定的通知》(工信部联企业[2011]300号)的规定，投标人自行勾选承接企业的企业规模类型。</w:t>
      </w:r>
      <w:r/>
    </w:p>
    <w:p>
      <w:pPr>
        <w:spacing w:before="151" w:after="151" w:line="60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残疾人福利性单位声明函</w:t>
      </w:r>
      <w:r/>
    </w:p>
    <w:p>
      <w:pPr>
        <w:spacing w:line="588" w:lineRule="exact"/>
        <w:rPr>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sz w:val="24"/>
          <w:highlight w:val="none"/>
          <w:u w:val="single"/>
        </w:rPr>
        <w:t xml:space="preserve">宿迁市水务工程建设管理中心</w:t>
      </w:r>
      <w:r>
        <w:rPr>
          <w:rFonts w:hint="eastAsia" w:ascii="仿宋" w:hAnsi="仿宋" w:eastAsia="仿宋" w:cs="仿宋"/>
          <w:color w:val="auto"/>
          <w:sz w:val="24"/>
          <w:highlight w:val="none"/>
        </w:rPr>
        <w:t xml:space="preserve">的</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（采购包名称）（采购包号：  ）</w:t>
      </w:r>
      <w:r>
        <w:rPr>
          <w:rFonts w:hint="eastAsia" w:ascii="仿宋" w:hAnsi="仿宋" w:eastAsia="仿宋" w:cs="仿宋"/>
          <w:color w:val="auto"/>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3810"/>
        <w:spacing w:line="500" w:lineRule="exact"/>
        <w:rPr>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ind w:firstLine="3629"/>
        <w:jc w:val="left"/>
        <w:spacing w:line="5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left"/>
        <w:spacing w:line="5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单位名称：（</w:t>
      </w:r>
      <w:r>
        <w:rPr>
          <w:rFonts w:hint="eastAsia" w:ascii="仿宋" w:hAnsi="仿宋" w:eastAsia="仿宋" w:cs="仿宋"/>
          <w:color w:val="auto"/>
          <w:sz w:val="24"/>
          <w:szCs w:val="24"/>
          <w:highlight w:val="none"/>
        </w:rPr>
        <w:t xml:space="preserve">盖CA电子公章</w:t>
      </w:r>
      <w:r>
        <w:rPr>
          <w:rFonts w:hint="eastAsia" w:ascii="仿宋" w:hAnsi="仿宋" w:eastAsia="仿宋" w:cs="仿宋"/>
          <w:color w:val="auto"/>
          <w:sz w:val="24"/>
          <w:highlight w:val="none"/>
        </w:rPr>
        <w:t xml:space="preserve">）</w:t>
      </w:r>
      <w:r/>
    </w:p>
    <w:p>
      <w:pPr>
        <w:ind w:firstLine="480"/>
        <w:jc w:val="left"/>
        <w:spacing w:line="50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日期：  年  月  日</w:t>
      </w:r>
      <w:r/>
    </w:p>
    <w:p>
      <w:pPr>
        <w:ind w:right="1560" w:firstLine="480"/>
        <w:jc w:val="center"/>
        <w:spacing w:line="588" w:lineRule="exact"/>
        <w:tabs>
          <w:tab w:val="left" w:pos="4860" w:leader="none"/>
        </w:tabs>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357"/>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备注：1.非残疾人福利性单位不需提供此函。</w:t>
      </w:r>
      <w:r/>
    </w:p>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2.符合报价折扣情形的请将此函填报上传至“企业报价折扣证明”一栏中。</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rPr>
          <w:rFonts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lang w:val="en-US" w:eastAsia="zh-CN"/>
        </w:rPr>
        <w:t xml:space="preserve">七</w:t>
      </w:r>
      <w:r>
        <w:rPr>
          <w:rFonts w:hint="eastAsia" w:ascii="仿宋" w:hAnsi="仿宋" w:eastAsia="仿宋" w:cs="仿宋"/>
          <w:b/>
          <w:color w:val="auto"/>
          <w:sz w:val="32"/>
          <w:szCs w:val="32"/>
          <w:highlight w:val="none"/>
        </w:rPr>
        <w:t xml:space="preserve">、技术要求响应及偏离表（</w:t>
      </w:r>
      <w:r>
        <w:rPr>
          <w:rFonts w:hint="eastAsia" w:ascii="仿宋" w:hAnsi="仿宋" w:eastAsia="仿宋" w:cs="仿宋"/>
          <w:b/>
          <w:color w:val="auto"/>
          <w:sz w:val="32"/>
          <w:szCs w:val="32"/>
          <w:highlight w:val="none"/>
          <w:lang w:val="en-US" w:eastAsia="zh-CN"/>
        </w:rPr>
        <w:t xml:space="preserve">采购</w:t>
      </w:r>
      <w:r>
        <w:rPr>
          <w:rFonts w:hint="eastAsia" w:ascii="仿宋" w:hAnsi="仿宋" w:eastAsia="仿宋" w:cs="仿宋"/>
          <w:b/>
          <w:color w:val="auto"/>
          <w:sz w:val="32"/>
          <w:szCs w:val="32"/>
          <w:highlight w:val="none"/>
        </w:rPr>
        <w:t xml:space="preserve">包号：</w:t>
      </w:r>
      <w:r>
        <w:rPr>
          <w:rFonts w:hint="eastAsia" w:ascii="仿宋" w:hAnsi="仿宋" w:eastAsia="仿宋" w:cs="仿宋"/>
          <w:b/>
          <w:color w:val="auto"/>
          <w:sz w:val="32"/>
          <w:szCs w:val="32"/>
          <w:highlight w:val="none"/>
          <w:lang w:val="en-US" w:eastAsia="zh-CN"/>
        </w:rPr>
        <w:t xml:space="preserve">  </w:t>
      </w:r>
      <w:r>
        <w:rPr>
          <w:rFonts w:hint="eastAsia" w:ascii="仿宋" w:hAnsi="仿宋" w:eastAsia="仿宋" w:cs="仿宋"/>
          <w:b/>
          <w:color w:val="auto"/>
          <w:sz w:val="32"/>
          <w:szCs w:val="32"/>
          <w:highlight w:val="none"/>
        </w:rPr>
        <w:t xml:space="preserve">）</w:t>
      </w:r>
      <w:r/>
    </w:p>
    <w:p>
      <w:pPr>
        <w:rPr>
          <w:rFonts w:ascii="仿宋" w:hAnsi="仿宋" w:eastAsia="仿宋" w:cs="仿宋"/>
          <w:b/>
          <w:color w:val="auto"/>
          <w:sz w:val="32"/>
          <w:szCs w:val="32"/>
          <w:highlight w:val="none"/>
        </w:rPr>
      </w:pPr>
      <w:r>
        <w:rPr>
          <w:rFonts w:ascii="仿宋" w:hAnsi="仿宋" w:eastAsia="仿宋" w:cs="仿宋"/>
          <w:b/>
          <w:color w:val="auto"/>
          <w:sz w:val="32"/>
          <w:szCs w:val="32"/>
          <w:highlight w:val="none"/>
        </w:rPr>
      </w:r>
      <w:r/>
    </w:p>
    <w:tbl>
      <w:tblPr>
        <w:tblStyle w:val="771"/>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仿宋" w:hAnsi="仿宋" w:eastAsia="仿宋" w:cs="仿宋"/>
                <w:color w:val="auto"/>
                <w:sz w:val="24"/>
                <w:szCs w:val="24"/>
                <w:highlight w:val="none"/>
              </w:rPr>
            </w:pPr>
            <w:r/>
            <w:bookmarkStart w:id="167" w:name="_Hlt26782999"/>
            <w:r/>
            <w:bookmarkEnd w:id="167"/>
            <w:r/>
            <w:bookmarkStart w:id="168" w:name="_Hlt26955056"/>
            <w:r/>
            <w:bookmarkEnd w:id="168"/>
            <w:r/>
            <w:bookmarkStart w:id="169" w:name="_Hlt26580838"/>
            <w:r/>
            <w:bookmarkEnd w:id="169"/>
            <w:r/>
            <w:bookmarkStart w:id="170" w:name="_Hlt26609391"/>
            <w:r/>
            <w:bookmarkEnd w:id="170"/>
            <w:r/>
            <w:bookmarkStart w:id="171" w:name="_Hlt26671343"/>
            <w:r/>
            <w:bookmarkEnd w:id="171"/>
            <w:r/>
            <w:bookmarkStart w:id="172" w:name="_Hlt24879081"/>
            <w:r/>
            <w:bookmarkEnd w:id="172"/>
            <w:r/>
            <w:bookmarkStart w:id="173" w:name="_Hlt26671372"/>
            <w:r/>
            <w:bookmarkEnd w:id="173"/>
            <w:r/>
            <w:bookmarkStart w:id="174" w:name="_Hlt26955064"/>
            <w:r/>
            <w:bookmarkEnd w:id="174"/>
            <w:r/>
            <w:bookmarkStart w:id="175" w:name="_Hlt26955054"/>
            <w:r/>
            <w:bookmarkEnd w:id="175"/>
            <w:r>
              <w:rPr>
                <w:rFonts w:hint="eastAsia" w:ascii="仿宋" w:hAnsi="仿宋" w:eastAsia="仿宋" w:cs="仿宋"/>
                <w:color w:val="auto"/>
                <w:sz w:val="24"/>
                <w:szCs w:val="24"/>
                <w:highlight w:val="none"/>
              </w:rPr>
              <w:t xml:space="preserve">序号</w:t>
            </w:r>
            <w:r/>
          </w:p>
        </w:tc>
        <w:tc>
          <w:tcPr>
            <w:tcW w:w="3291" w:type="dxa"/>
            <w:vAlign w:val="center"/>
            <w:textDirection w:val="lrTb"/>
            <w:noWrap/>
          </w:tcPr>
          <w:p>
            <w:pPr>
              <w:pStyle w:val="989"/>
              <w:jc w:val="center"/>
              <w:spacing w:before="0" w:beforeAutospacing="0" w:after="0" w:afterAutospacing="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highlight w:val="none"/>
              </w:rPr>
              <w:t xml:space="preserve">采购需求中的实质性要求（打“★”内容）</w:t>
            </w:r>
            <w:r/>
          </w:p>
        </w:tc>
        <w:tc>
          <w:tcPr>
            <w:tcW w:w="2852" w:type="dxa"/>
            <w:vAlign w:val="center"/>
            <w:textDirection w:val="lrTb"/>
            <w:noWrap/>
          </w:tcPr>
          <w:p>
            <w:pPr>
              <w:pStyle w:val="989"/>
              <w:jc w:val="center"/>
              <w:spacing w:before="0" w:beforeAutospacing="0" w:after="0" w:afterAutospacing="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highlight w:val="none"/>
              </w:rPr>
              <w:t xml:space="preserve">响应情况（填报“响应或完全响应”）</w:t>
            </w:r>
            <w:r/>
          </w:p>
        </w:tc>
        <w:tc>
          <w:tcPr>
            <w:tcW w:w="1308" w:type="dxa"/>
            <w:vAlign w:val="center"/>
            <w:textDirection w:val="lrTb"/>
            <w:noWrap/>
          </w:tcPr>
          <w:p>
            <w:pPr>
              <w:pStyle w:val="989"/>
              <w:jc w:val="center"/>
              <w:spacing w:before="0" w:beforeAutospacing="0" w:after="0" w:afterAutospacing="0"/>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highlight w:val="none"/>
              </w:rPr>
              <w:t xml:space="preserve">偏离（填报“正偏离、符合或负偏离”）</w:t>
            </w:r>
            <w:r/>
          </w:p>
        </w:tc>
        <w:tc>
          <w:tcPr>
            <w:tcW w:w="1173" w:type="dxa"/>
            <w:vAlign w:val="center"/>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证明</w:t>
            </w:r>
            <w:r/>
          </w:p>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材料</w:t>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cantSplit/>
          <w:trHeight w:val="640"/>
        </w:trPr>
        <w:tc>
          <w:tcPr>
            <w:tcW w:w="545"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3291" w:type="dxa"/>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tcW w:w="2852"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08"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173"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588"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1.投标人必须对第四章 采购需求所有标注 “★” 部分的实质性要求做出明确响应，否则作无效响应处理。</w:t>
      </w:r>
      <w:r/>
    </w:p>
    <w:p>
      <w:pPr>
        <w:spacing w:line="588"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文件要求提供证明材料，投标人必须将证明材料列于该表之下。</w:t>
      </w:r>
      <w:r/>
    </w:p>
    <w:p>
      <w:pPr>
        <w:spacing w:line="588"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3.投标人未对实质性要求作出明确响应的，或未按</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文件要求提供证明材料的，该分包作无效响应处理。</w:t>
      </w:r>
      <w:r/>
    </w:p>
    <w:p>
      <w:pPr>
        <w:jc w:val="left"/>
        <w:spacing w:line="400" w:lineRule="exact"/>
        <w:rPr>
          <w:rFonts w:ascii="仿宋" w:hAnsi="仿宋" w:eastAsia="仿宋" w:cs="仿宋"/>
          <w:b/>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仿宋" w:hAnsi="仿宋" w:eastAsia="仿宋" w:cs="仿宋"/>
          <w:b/>
          <w:color w:val="auto"/>
          <w:sz w:val="32"/>
          <w:szCs w:val="32"/>
          <w:highlight w:val="none"/>
        </w:rPr>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lang w:val="en-US" w:eastAsia="zh-CN"/>
        </w:rPr>
        <w:t xml:space="preserve">八</w:t>
      </w:r>
      <w:r>
        <w:rPr>
          <w:rFonts w:hint="eastAsia" w:ascii="仿宋" w:hAnsi="仿宋" w:eastAsia="仿宋" w:cs="仿宋"/>
          <w:b/>
          <w:bCs/>
          <w:color w:val="auto"/>
          <w:sz w:val="32"/>
          <w:szCs w:val="32"/>
          <w:highlight w:val="none"/>
        </w:rPr>
        <w:t xml:space="preserve">、项目服务方案</w:t>
      </w:r>
      <w:r/>
    </w:p>
    <w:p>
      <w:pPr>
        <w:rPr>
          <w:rFonts w:ascii="仿宋" w:hAnsi="仿宋" w:eastAsia="仿宋" w:cs="仿宋"/>
          <w:color w:val="auto"/>
          <w:highlight w:val="none"/>
        </w:rPr>
        <w:outlineLvl w:val="1"/>
      </w:pPr>
      <w:r>
        <w:rPr>
          <w:rFonts w:ascii="仿宋" w:hAnsi="仿宋" w:eastAsia="仿宋" w:cs="仿宋"/>
          <w:color w:val="auto"/>
          <w:highlight w:val="none"/>
        </w:rPr>
      </w:r>
      <w:r/>
    </w:p>
    <w:p>
      <w:pPr>
        <w:pStyle w:val="77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采购包1：</w:t>
      </w:r>
      <w:r>
        <w:rPr>
          <w:rFonts w:hint="eastAsia" w:ascii="仿宋" w:hAnsi="仿宋" w:eastAsia="仿宋" w:cs="仿宋"/>
          <w:color w:val="auto"/>
          <w:sz w:val="24"/>
          <w:szCs w:val="24"/>
          <w:highlight w:val="none"/>
          <w:lang w:eastAsia="zh-CN"/>
        </w:rPr>
        <w:t xml:space="preserve">内容包括（但不限于）：项目理解及工作思路、移民安置质量监督评估、移民资金的拨付和使用情况监督评估、移民安置档案监督评估、移民生产生活水平恢复情况监督评估、监督评估工作重难点分析、信息化平台和AI应用开发等。</w:t>
      </w:r>
      <w:r/>
    </w:p>
    <w:p>
      <w:pPr>
        <w:pStyle w:val="77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pStyle w:val="772"/>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采购包2：</w:t>
      </w:r>
      <w:r>
        <w:rPr>
          <w:rFonts w:hint="eastAsia" w:ascii="仿宋" w:hAnsi="仿宋" w:eastAsia="仿宋" w:cs="仿宋"/>
          <w:color w:val="auto"/>
          <w:sz w:val="24"/>
          <w:szCs w:val="24"/>
          <w:highlight w:val="none"/>
          <w:lang w:eastAsia="zh-CN"/>
        </w:rPr>
        <w:t xml:space="preserve">内容包括（但不限于）：项目理解及工作思路、移民安置质量监督评估、移民资金的拨付和使用情况监督评估、移民安置档案监督评估、移民生产生活水平恢复情况监督评估、监督评估工作重难点分析</w:t>
      </w:r>
      <w:r>
        <w:rPr>
          <w:rFonts w:hint="eastAsia" w:ascii="仿宋" w:hAnsi="仿宋" w:eastAsia="仿宋" w:cs="仿宋"/>
          <w:color w:val="auto"/>
          <w:sz w:val="24"/>
          <w:szCs w:val="24"/>
          <w:highlight w:val="none"/>
          <w:lang w:val="en-US" w:eastAsia="zh-CN"/>
        </w:rPr>
        <w:t xml:space="preserve">等</w:t>
      </w:r>
      <w:bookmarkStart w:id="178" w:name="_GoBack"/>
      <w:r/>
      <w:bookmarkEnd w:id="178"/>
      <w:r>
        <w:rPr>
          <w:rFonts w:hint="eastAsia" w:ascii="仿宋" w:hAnsi="仿宋" w:eastAsia="仿宋" w:cs="仿宋"/>
          <w:color w:val="auto"/>
          <w:sz w:val="24"/>
          <w:szCs w:val="24"/>
          <w:highlight w:val="none"/>
          <w:lang w:eastAsia="zh-CN"/>
        </w:rPr>
        <w:t xml:space="preserve">。</w:t>
      </w:r>
      <w:r/>
    </w:p>
    <w:p>
      <w:pPr>
        <w:pStyle w:val="772"/>
        <w:spacing w:line="360" w:lineRule="auto"/>
        <w:rPr>
          <w:rFonts w:hint="eastAsia" w:ascii="仿宋" w:hAnsi="仿宋" w:eastAsia="仿宋" w:cs="仿宋"/>
          <w:color w:val="auto"/>
          <w:sz w:val="24"/>
          <w:szCs w:val="24"/>
          <w:highlight w:val="none"/>
          <w:lang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color w:val="auto"/>
          <w:sz w:val="24"/>
          <w:szCs w:val="24"/>
          <w:highlight w:val="none"/>
          <w:lang w:eastAsia="zh-CN"/>
        </w:rPr>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lang w:val="en-US" w:eastAsia="zh-CN"/>
        </w:rPr>
        <w:t xml:space="preserve">九</w:t>
      </w:r>
      <w:r>
        <w:rPr>
          <w:rFonts w:hint="eastAsia" w:ascii="仿宋" w:hAnsi="仿宋" w:eastAsia="仿宋" w:cs="仿宋"/>
          <w:b/>
          <w:bCs/>
          <w:color w:val="auto"/>
          <w:sz w:val="32"/>
          <w:szCs w:val="32"/>
          <w:highlight w:val="none"/>
        </w:rPr>
        <w:t xml:space="preserve">、项目组人员</w:t>
      </w:r>
      <w:r/>
    </w:p>
    <w:p>
      <w:pPr>
        <w:jc w:val="center"/>
        <w:spacing w:line="6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项目组人员汇总表</w:t>
      </w:r>
      <w:r/>
    </w:p>
    <w:tbl>
      <w:tblPr>
        <w:tblStyle w:val="771"/>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jc w:val="center"/>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843" w:type="dxa"/>
            <w:vAlign w:val="center"/>
            <w:textDirection w:val="lrTb"/>
            <w:noWrap/>
          </w:tcPr>
          <w:p>
            <w:pPr>
              <w:jc w:val="center"/>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W w:w="992" w:type="dxa"/>
            <w:vAlign w:val="center"/>
            <w:textDirection w:val="lrTb"/>
            <w:noWrap/>
          </w:tcPr>
          <w:p>
            <w:pPr>
              <w:jc w:val="center"/>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984" w:type="dxa"/>
            <w:vAlign w:val="center"/>
            <w:textDirection w:val="lrTb"/>
            <w:noWrap/>
          </w:tcPr>
          <w:p>
            <w:pPr>
              <w:ind w:firstLine="280"/>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W w:w="1702" w:type="dxa"/>
            <w:vAlign w:val="center"/>
            <w:textDirection w:val="lrTb"/>
            <w:noWrap/>
          </w:tcPr>
          <w:p>
            <w:pPr>
              <w:jc w:val="center"/>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962" w:type="dxa"/>
            <w:vAlign w:val="center"/>
            <w:textDirection w:val="lrTb"/>
            <w:noWrap/>
          </w:tcPr>
          <w:p>
            <w:pPr>
              <w:spacing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rPr>
                <w:rFonts w:ascii="仿宋" w:hAnsi="仿宋" w:eastAsia="仿宋" w:cs="仿宋"/>
                <w:color w:val="auto"/>
                <w:sz w:val="20"/>
                <w:szCs w:val="20"/>
                <w:highlight w:val="none"/>
              </w:rPr>
            </w:pPr>
            <w:r>
              <w:rPr>
                <w:rFonts w:hint="eastAsia" w:ascii="仿宋" w:hAnsi="仿宋" w:eastAsia="仿宋" w:cs="仿宋"/>
                <w:color w:val="auto"/>
                <w:sz w:val="28"/>
                <w:szCs w:val="28"/>
                <w:highlight w:val="none"/>
              </w:rPr>
              <w:t xml:space="preserve">监督评估总负责人</w:t>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监督评估负责人</w:t>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监督评估技术员</w:t>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1843" w:type="dxa"/>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1843" w:type="dxa"/>
            <w:vAlign w:val="center"/>
            <w:textDirection w:val="lrTb"/>
            <w:noWrap/>
          </w:tcPr>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trHeight w:val="729"/>
        </w:trPr>
        <w:tc>
          <w:tcPr>
            <w:tcW w:w="959"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843"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9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84"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70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62" w:type="dxa"/>
            <w:vAlign w:val="center"/>
            <w:textDirection w:val="lrTb"/>
            <w:noWrap/>
          </w:tcPr>
          <w:p>
            <w:pPr>
              <w:ind w:firstLine="560"/>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注：1.涉及</w:t>
      </w:r>
      <w:r>
        <w:rPr>
          <w:rFonts w:hint="eastAsia" w:ascii="仿宋" w:hAnsi="仿宋" w:eastAsia="仿宋" w:cs="仿宋"/>
          <w:b/>
          <w:bCs/>
          <w:color w:val="auto"/>
          <w:sz w:val="24"/>
          <w:szCs w:val="24"/>
          <w:highlight w:val="none"/>
        </w:rPr>
        <w:t xml:space="preserve">评分标准</w:t>
      </w:r>
      <w:r>
        <w:rPr>
          <w:rFonts w:hint="eastAsia" w:ascii="仿宋" w:hAnsi="仿宋" w:eastAsia="仿宋" w:cs="仿宋"/>
          <w:color w:val="auto"/>
          <w:sz w:val="24"/>
          <w:szCs w:val="24"/>
          <w:highlight w:val="none"/>
        </w:rPr>
        <w:t xml:space="preserve">的项目组人员（含项目负责人）在本表中填报，</w:t>
      </w:r>
      <w:r>
        <w:rPr>
          <w:rFonts w:hint="eastAsia" w:ascii="仿宋" w:hAnsi="仿宋" w:eastAsia="仿宋" w:cs="仿宋"/>
          <w:b/>
          <w:bCs/>
          <w:color w:val="auto"/>
          <w:sz w:val="24"/>
          <w:szCs w:val="24"/>
          <w:highlight w:val="none"/>
        </w:rPr>
        <w:t xml:space="preserve">并按要求上传相关证明材料</w:t>
      </w:r>
      <w:r>
        <w:rPr>
          <w:rFonts w:hint="eastAsia" w:ascii="仿宋" w:hAnsi="仿宋" w:eastAsia="仿宋" w:cs="仿宋"/>
          <w:color w:val="auto"/>
          <w:sz w:val="24"/>
          <w:szCs w:val="24"/>
          <w:highlight w:val="none"/>
        </w:rPr>
        <w:t xml:space="preserve">。</w:t>
      </w:r>
      <w:r/>
    </w:p>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2.如投标人中标，项目组人员应按本表中承诺人员操作，不得随意更换。</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jc w:val="center"/>
        <w:keepLines/>
        <w:keepNext/>
        <w:spacing w:before="260" w:after="260" w:line="416" w:lineRule="auto"/>
        <w:rPr>
          <w:rFonts w:ascii="仿宋" w:hAnsi="仿宋" w:eastAsia="仿宋" w:cs="仿宋"/>
          <w:b/>
          <w:color w:val="auto"/>
          <w:sz w:val="32"/>
          <w:szCs w:val="32"/>
          <w:highlight w:val="none"/>
        </w:rPr>
        <w:outlineLvl w:val="2"/>
      </w:pPr>
      <w:r>
        <w:rPr>
          <w:rFonts w:hint="eastAsia" w:ascii="仿宋" w:hAnsi="仿宋" w:eastAsia="仿宋" w:cs="仿宋"/>
          <w:b/>
          <w:color w:val="auto"/>
          <w:sz w:val="32"/>
          <w:szCs w:val="32"/>
          <w:highlight w:val="none"/>
        </w:rPr>
        <w:t xml:space="preserve">主要人员简历表</w:t>
      </w:r>
      <w:r/>
    </w:p>
    <w:tbl>
      <w:tblPr>
        <w:tblStyle w:val="771"/>
        <w:tblW w:w="8857" w:type="dxa"/>
        <w:tblInd w:w="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169" w:type="dxa"/>
          <w:right w:w="24" w:type="dxa"/>
          <w:bottom w:w="61" w:type="dxa"/>
        </w:tblCellMar>
        <w:tblLook w:val="04A0" w:firstRow="1" w:lastRow="0" w:firstColumn="1" w:lastColumn="0" w:noHBand="0" w:noVBand="1"/>
      </w:tblPr>
      <w:tblGrid>
        <w:gridCol w:w="1604"/>
        <w:gridCol w:w="856"/>
        <w:gridCol w:w="1004"/>
        <w:gridCol w:w="960"/>
        <w:gridCol w:w="961"/>
        <w:gridCol w:w="1326"/>
        <w:gridCol w:w="174"/>
        <w:gridCol w:w="1972"/>
      </w:tblGrid>
      <w:tr>
        <w:trPr>
          <w:trHeight w:val="90"/>
        </w:trPr>
        <w:tc>
          <w:tcPr>
            <w:tcW w:w="1604" w:type="dxa"/>
            <w:vAlign w:val="center"/>
            <w:textDirection w:val="lrTb"/>
            <w:noWrap/>
          </w:tcPr>
          <w:p>
            <w:pPr>
              <w:ind w:left="29"/>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姓名</w:t>
            </w:r>
            <w:r/>
          </w:p>
        </w:tc>
        <w:tc>
          <w:tcPr>
            <w:tcW w:w="856" w:type="dxa"/>
            <w:vAlign w:val="bottom"/>
            <w:textDirection w:val="lrTb"/>
            <w:noWrap/>
          </w:tcPr>
          <w:p>
            <w:pPr>
              <w:ind w:left="7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04" w:type="dxa"/>
            <w:vAlign w:val="center"/>
            <w:textDirection w:val="lrTb"/>
            <w:noWrap/>
          </w:tcPr>
          <w:p>
            <w:pPr>
              <w:ind w:left="26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w:t>
            </w:r>
            <w:r/>
          </w:p>
        </w:tc>
        <w:tc>
          <w:tcPr>
            <w:tcW w:w="960" w:type="dxa"/>
            <w:vAlign w:val="bottom"/>
            <w:textDirection w:val="lrTb"/>
            <w:noWrap/>
          </w:tcPr>
          <w:p>
            <w:pPr>
              <w:ind w:left="77"/>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3"/>
            <w:tcW w:w="2461" w:type="dxa"/>
            <w:vAlign w:val="bottom"/>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执业资格证书（或上岗证书）名称</w:t>
            </w:r>
            <w:r/>
          </w:p>
        </w:tc>
        <w:tc>
          <w:tcPr>
            <w:tcW w:w="1972" w:type="dxa"/>
            <w:vAlign w:val="bottom"/>
            <w:textDirection w:val="lrTb"/>
            <w:noWrap/>
          </w:tcPr>
          <w:p>
            <w:pPr>
              <w:ind w:left="76"/>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717"/>
        </w:trPr>
        <w:tc>
          <w:tcPr>
            <w:tcW w:w="1604" w:type="dxa"/>
            <w:vAlign w:val="center"/>
            <w:textDirection w:val="lrTb"/>
            <w:noWrap/>
          </w:tcPr>
          <w:p>
            <w:pPr>
              <w:ind w:left="29"/>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职称</w:t>
            </w:r>
            <w:r/>
          </w:p>
        </w:tc>
        <w:tc>
          <w:tcPr>
            <w:tcW w:w="856" w:type="dxa"/>
            <w:vAlign w:val="bottom"/>
            <w:textDirection w:val="lrTb"/>
            <w:noWrap/>
          </w:tcPr>
          <w:p>
            <w:pPr>
              <w:ind w:left="74"/>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004" w:type="dxa"/>
            <w:vAlign w:val="center"/>
            <w:textDirection w:val="lrTb"/>
            <w:noWrap/>
          </w:tcPr>
          <w:p>
            <w:pPr>
              <w:ind w:left="26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tcW w:w="960" w:type="dxa"/>
            <w:vAlign w:val="bottom"/>
            <w:textDirection w:val="lrTb"/>
            <w:noWrap/>
          </w:tcPr>
          <w:p>
            <w:pPr>
              <w:ind w:left="77"/>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3"/>
            <w:tcW w:w="2461" w:type="dxa"/>
            <w:vAlign w:val="bottom"/>
            <w:textDirection w:val="lrTb"/>
            <w:noWrap/>
          </w:tcPr>
          <w:p>
            <w:pPr>
              <w:ind w:left="2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拟在本项目任职</w:t>
            </w:r>
            <w:r/>
          </w:p>
        </w:tc>
        <w:tc>
          <w:tcPr>
            <w:tcW w:w="1972" w:type="dxa"/>
            <w:vAlign w:val="bottom"/>
            <w:textDirection w:val="lrTb"/>
            <w:noWrap/>
          </w:tcPr>
          <w:p>
            <w:pPr>
              <w:ind w:left="76"/>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center"/>
            <w:textDirection w:val="lrTb"/>
            <w:noWrap/>
          </w:tcPr>
          <w:p>
            <w:pPr>
              <w:ind w:left="17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工作年限</w:t>
            </w:r>
            <w:r/>
          </w:p>
        </w:tc>
        <w:tc>
          <w:tcPr>
            <w:gridSpan w:val="3"/>
            <w:tcW w:w="2820" w:type="dxa"/>
            <w:vAlign w:val="center"/>
            <w:textDirection w:val="lrTb"/>
            <w:noWrap/>
          </w:tcPr>
          <w:p>
            <w:pPr>
              <w:ind w:left="77"/>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3"/>
            <w:tcW w:w="2461" w:type="dxa"/>
            <w:vAlign w:val="bottom"/>
            <w:textDirection w:val="lrTb"/>
            <w:noWrap/>
          </w:tcPr>
          <w:p>
            <w:pPr>
              <w:ind w:left="22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从事类似工作年限</w:t>
            </w:r>
            <w:r/>
          </w:p>
        </w:tc>
        <w:tc>
          <w:tcPr>
            <w:tcW w:w="1972" w:type="dxa"/>
            <w:vAlign w:val="bottom"/>
            <w:textDirection w:val="lrTb"/>
            <w:noWrap/>
          </w:tcPr>
          <w:p>
            <w:pPr>
              <w:ind w:left="76"/>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textDirection w:val="lrTb"/>
            <w:noWrap/>
          </w:tcPr>
          <w:p>
            <w:pPr>
              <w:ind w:left="173"/>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毕业学校</w:t>
            </w:r>
            <w:r/>
          </w:p>
        </w:tc>
        <w:tc>
          <w:tcPr>
            <w:gridSpan w:val="7"/>
            <w:tcW w:w="7253" w:type="dxa"/>
            <w:vAlign w:val="bottom"/>
            <w:textDirection w:val="lrTb"/>
            <w:noWrap/>
          </w:tcPr>
          <w:p>
            <w:pPr>
              <w:ind w:left="1263"/>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年毕业于                学校                专业</w:t>
            </w:r>
            <w:r/>
          </w:p>
        </w:tc>
      </w:tr>
      <w:tr>
        <w:trPr>
          <w:trHeight w:val="90"/>
        </w:trPr>
        <w:tc>
          <w:tcPr>
            <w:tcW w:w="1604" w:type="dxa"/>
            <w:vAlign w:val="bottom"/>
            <w:textDirection w:val="lrTb"/>
            <w:noWrap/>
          </w:tcPr>
          <w:p>
            <w:pPr>
              <w:ind w:left="108"/>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主要工作经历</w:t>
            </w:r>
            <w:r/>
          </w:p>
        </w:tc>
        <w:tc>
          <w:tcPr>
            <w:gridSpan w:val="7"/>
            <w:tcW w:w="7253" w:type="dxa"/>
            <w:vAlign w:val="bottom"/>
            <w:textDirection w:val="lrTb"/>
            <w:noWrap/>
          </w:tcPr>
          <w:p>
            <w:pPr>
              <w:ind w:left="-2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textDirection w:val="lrTb"/>
            <w:noWrap/>
          </w:tcPr>
          <w:p>
            <w:pPr>
              <w:ind w:right="72"/>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p>
        </w:tc>
        <w:tc>
          <w:tcPr>
            <w:gridSpan w:val="4"/>
            <w:tcW w:w="3781" w:type="dxa"/>
            <w:textDirection w:val="lrTb"/>
            <w:noWrap/>
          </w:tcPr>
          <w:p>
            <w:pPr>
              <w:ind w:left="25"/>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参加过的类似项目</w:t>
            </w:r>
            <w:r/>
          </w:p>
        </w:tc>
        <w:tc>
          <w:tcPr>
            <w:tcW w:w="1326" w:type="dxa"/>
            <w:vAlign w:val="bottom"/>
            <w:textDirection w:val="lrTb"/>
            <w:noWrap/>
          </w:tcPr>
          <w:p>
            <w:pPr>
              <w:ind w:left="209"/>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担任职务</w:t>
            </w:r>
            <w:r/>
          </w:p>
        </w:tc>
        <w:tc>
          <w:tcPr>
            <w:gridSpan w:val="2"/>
            <w:tcW w:w="2146" w:type="dxa"/>
            <w:vAlign w:val="bottom"/>
            <w:textDirection w:val="lrTb"/>
            <w:noWrap/>
          </w:tcPr>
          <w:p>
            <w:pPr>
              <w:ind w:left="307"/>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发包人联系电话</w:t>
            </w:r>
            <w:r/>
          </w:p>
        </w:tc>
      </w:tr>
      <w:tr>
        <w:trPr>
          <w:trHeight w:val="90"/>
        </w:trPr>
        <w:tc>
          <w:tcPr>
            <w:tcW w:w="1604"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textDirection w:val="lrTb"/>
            <w:noWrap/>
          </w:tcPr>
          <w:p>
            <w:pPr>
              <w:jc w:val="cente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center"/>
            <w:vMerge w:val="restart"/>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获奖情况</w:t>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vMerge w:val="continue"/>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vAlign w:val="bottom"/>
            <w:vMerge w:val="continue"/>
            <w:textDirection w:val="lrTb"/>
            <w:noWrap/>
          </w:tcPr>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4"/>
            <w:tcW w:w="3781"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32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gridSpan w:val="2"/>
            <w:tcW w:w="2146" w:type="dxa"/>
            <w:vAlign w:val="bottom"/>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90"/>
        </w:trPr>
        <w:tc>
          <w:tcPr>
            <w:tcW w:w="1604" w:type="dxa"/>
            <w:textDirection w:val="lrTb"/>
            <w:noWrap/>
          </w:tcPr>
          <w:p>
            <w:pPr>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目前任职情况或从事的工作</w:t>
            </w:r>
            <w:r/>
          </w:p>
        </w:tc>
        <w:tc>
          <w:tcPr>
            <w:gridSpan w:val="7"/>
            <w:tcW w:w="7253" w:type="dxa"/>
            <w:textDirection w:val="lrTb"/>
            <w:noWrap/>
          </w:tcPr>
          <w:p>
            <w:pPr>
              <w:ind w:left="108"/>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spacing w:line="360" w:lineRule="auto"/>
        <w:rPr>
          <w:rFonts w:ascii="仿宋" w:hAnsi="仿宋" w:eastAsia="仿宋" w:cs="仿宋"/>
          <w:color w:val="auto"/>
          <w:szCs w:val="21"/>
          <w:highlight w:val="none"/>
        </w:rPr>
      </w:pPr>
      <w:r>
        <w:rPr>
          <w:rFonts w:ascii="仿宋" w:hAnsi="仿宋" w:eastAsia="仿宋" w:cs="仿宋"/>
          <w:color w:val="auto"/>
          <w:szCs w:val="21"/>
          <w:highlight w:val="none"/>
        </w:rPr>
      </w:r>
      <w:r/>
    </w:p>
    <w:p>
      <w:pPr>
        <w:spacing w:line="360" w:lineRule="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w:t>
      </w:r>
      <w:r>
        <w:rPr>
          <w:rFonts w:hint="eastAsia" w:ascii="仿宋" w:hAnsi="仿宋" w:eastAsia="仿宋" w:cs="仿宋"/>
          <w:b/>
          <w:bCs/>
          <w:color w:val="auto"/>
          <w:sz w:val="24"/>
          <w:szCs w:val="24"/>
          <w:highlight w:val="none"/>
        </w:rPr>
        <w:t xml:space="preserve">请填写此表，并按要求上传相关证明材料。</w:t>
      </w:r>
      <w:r/>
    </w:p>
    <w:p>
      <w:pPr>
        <w:pStyle w:val="823"/>
        <w:rPr>
          <w:rFonts w:ascii="仿宋" w:hAnsi="仿宋" w:eastAsia="仿宋" w:cs="仿宋"/>
          <w:color w:val="auto"/>
          <w:highlight w:val="none"/>
        </w:rPr>
      </w:pPr>
      <w:r>
        <w:rPr>
          <w:rFonts w:ascii="仿宋" w:hAnsi="仿宋" w:eastAsia="仿宋" w:cs="仿宋"/>
          <w:color w:val="auto"/>
          <w:highlight w:val="none"/>
        </w:rPr>
      </w:r>
      <w:r/>
    </w:p>
    <w:p>
      <w:pPr>
        <w:ind w:firstLine="280"/>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before="120" w:after="120"/>
        <w:rPr>
          <w:rFonts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176" w:name="_Toc11176"/>
      <w:r>
        <w:rPr>
          <w:rFonts w:hint="eastAsia" w:ascii="仿宋" w:hAnsi="仿宋" w:eastAsia="仿宋" w:cs="仿宋"/>
          <w:b/>
          <w:bCs/>
          <w:color w:val="auto"/>
          <w:sz w:val="32"/>
          <w:szCs w:val="32"/>
          <w:highlight w:val="none"/>
        </w:rPr>
        <w:t xml:space="preserve">十、</w:t>
      </w:r>
      <w:bookmarkEnd w:id="176"/>
      <w:r>
        <w:rPr>
          <w:rFonts w:hint="eastAsia" w:ascii="仿宋" w:hAnsi="仿宋" w:eastAsia="仿宋" w:cs="仿宋"/>
          <w:b/>
          <w:bCs/>
          <w:color w:val="auto"/>
          <w:sz w:val="32"/>
          <w:szCs w:val="32"/>
          <w:highlight w:val="none"/>
        </w:rPr>
        <w:t xml:space="preserve">企业业绩</w:t>
      </w:r>
      <w:r/>
    </w:p>
    <w:p>
      <w:pPr>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投标人承担类似项目业绩一览表</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827"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33"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采购单位</w:t>
            </w:r>
            <w:r/>
          </w:p>
        </w:tc>
        <w:tc>
          <w:tcPr>
            <w:tcW w:w="1395"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验收时间</w:t>
            </w:r>
            <w:r/>
          </w:p>
        </w:tc>
      </w:tr>
      <w:tr>
        <w:trPr>
          <w:jc w:val="center"/>
          <w:trHeight w:val="1510"/>
        </w:trPr>
        <w:tc>
          <w:tcPr>
            <w:tcW w:w="1229" w:type="dxa"/>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827"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433"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395"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510"/>
        </w:trPr>
        <w:tc>
          <w:tcPr>
            <w:tcW w:w="1229" w:type="dxa"/>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827"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433"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395"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510"/>
        </w:trPr>
        <w:tc>
          <w:tcPr>
            <w:tcW w:w="1229" w:type="dxa"/>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827"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433"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395"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注：请填写此表，并按要求上传业绩资料电子件。</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left"/>
        <w:spacing w:line="360" w:lineRule="auto"/>
        <w:rPr>
          <w:rFonts w:ascii="仿宋" w:hAnsi="仿宋" w:eastAsia="仿宋" w:cs="仿宋"/>
          <w:b/>
          <w:bCs/>
          <w:color w:val="auto"/>
          <w:sz w:val="32"/>
          <w:szCs w:val="32"/>
          <w:highlight w:val="none"/>
        </w:rPr>
      </w:pPr>
      <w:r/>
      <w:bookmarkStart w:id="177" w:name="_Toc28140"/>
      <w:r>
        <w:rPr>
          <w:rFonts w:hint="eastAsia" w:ascii="仿宋" w:hAnsi="仿宋" w:eastAsia="仿宋" w:cs="仿宋"/>
          <w:b/>
          <w:bCs/>
          <w:color w:val="auto"/>
          <w:sz w:val="32"/>
          <w:szCs w:val="32"/>
          <w:highlight w:val="none"/>
        </w:rPr>
        <w:t xml:space="preserve">十</w:t>
      </w:r>
      <w:r>
        <w:rPr>
          <w:rFonts w:hint="eastAsia" w:ascii="仿宋" w:hAnsi="仿宋" w:eastAsia="仿宋" w:cs="仿宋"/>
          <w:b/>
          <w:bCs/>
          <w:color w:val="auto"/>
          <w:sz w:val="32"/>
          <w:szCs w:val="32"/>
          <w:highlight w:val="none"/>
          <w:lang w:val="en-US" w:eastAsia="zh-CN"/>
        </w:rPr>
        <w:t xml:space="preserve">一</w:t>
      </w:r>
      <w:r>
        <w:rPr>
          <w:rFonts w:hint="eastAsia" w:ascii="仿宋" w:hAnsi="仿宋" w:eastAsia="仿宋" w:cs="仿宋"/>
          <w:b/>
          <w:bCs/>
          <w:color w:val="auto"/>
          <w:sz w:val="32"/>
          <w:szCs w:val="32"/>
          <w:highlight w:val="none"/>
        </w:rPr>
        <w:t xml:space="preserve">、总负责人业绩</w:t>
      </w:r>
      <w:r/>
    </w:p>
    <w:p>
      <w:pPr>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总负责人承担类似项目业绩一览表</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33"/>
        <w:gridCol w:w="3842"/>
        <w:gridCol w:w="2442"/>
        <w:gridCol w:w="1400"/>
      </w:tblGrid>
      <w:tr>
        <w:trPr>
          <w:jc w:val="center"/>
          <w:trHeight w:val="642"/>
        </w:trPr>
        <w:tc>
          <w:tcPr>
            <w:tcW w:w="1233" w:type="dxa"/>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3842"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442"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采购单位</w:t>
            </w:r>
            <w:r/>
          </w:p>
        </w:tc>
        <w:tc>
          <w:tcPr>
            <w:tcW w:w="1400" w:type="dxa"/>
            <w:vAlign w:val="center"/>
            <w:textDirection w:val="lrTb"/>
            <w:noWrap/>
          </w:tcPr>
          <w:p>
            <w:pPr>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验收时间</w:t>
            </w:r>
            <w:r/>
          </w:p>
        </w:tc>
      </w:tr>
      <w:tr>
        <w:trPr>
          <w:jc w:val="center"/>
          <w:trHeight w:val="1277"/>
        </w:trPr>
        <w:tc>
          <w:tcPr>
            <w:tcW w:w="1233" w:type="dxa"/>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842"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442"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00"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1277"/>
        </w:trPr>
        <w:tc>
          <w:tcPr>
            <w:tcW w:w="1233" w:type="dxa"/>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3842"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442"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400" w:type="dxa"/>
            <w:vAlign w:val="center"/>
            <w:textDirection w:val="lrTb"/>
            <w:noWrap/>
          </w:tcPr>
          <w:p>
            <w:pPr>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ind w:firstLine="442"/>
        <w:spacing w:line="48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注：请填写此表，并按要求上传业绩资料电子件。</w:t>
      </w:r>
      <w:r/>
    </w:p>
    <w:p>
      <w:pPr>
        <w:jc w:val="left"/>
        <w:spacing w:before="120" w:after="120"/>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十</w:t>
      </w:r>
      <w:r>
        <w:rPr>
          <w:rFonts w:hint="eastAsia" w:ascii="仿宋" w:hAnsi="仿宋" w:eastAsia="仿宋" w:cs="仿宋"/>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、履约承诺函</w:t>
      </w:r>
      <w:r/>
    </w:p>
    <w:p>
      <w:pPr>
        <w:ind w:firstLine="4216"/>
        <w:jc w:val="left"/>
        <w:spacing w:line="360" w:lineRule="auto"/>
        <w:rPr>
          <w:rFonts w:ascii="仿宋" w:hAnsi="仿宋" w:eastAsia="仿宋" w:cs="仿宋"/>
          <w:color w:val="auto"/>
          <w:sz w:val="24"/>
          <w:szCs w:val="24"/>
          <w:highlight w:val="none"/>
          <w:u w:val="single"/>
        </w:rPr>
      </w:pPr>
      <w:r>
        <w:rPr>
          <w:rFonts w:hint="eastAsia" w:ascii="仿宋" w:hAnsi="仿宋" w:eastAsia="仿宋" w:cs="仿宋"/>
          <w:b/>
          <w:bCs/>
          <w:color w:val="auto"/>
          <w:sz w:val="28"/>
          <w:szCs w:val="28"/>
          <w:highlight w:val="none"/>
        </w:rPr>
        <w:t xml:space="preserve">履约承诺函</w:t>
      </w:r>
      <w:r/>
    </w:p>
    <w:p>
      <w:pPr>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宿迁市水务工程建设管理中心：</w:t>
      </w:r>
      <w:r>
        <w:rPr>
          <w:rFonts w:hint="eastAsia" w:ascii="仿宋" w:hAnsi="仿宋" w:eastAsia="仿宋" w:cs="仿宋"/>
          <w:color w:val="auto"/>
          <w:sz w:val="24"/>
          <w:szCs w:val="24"/>
          <w:highlight w:val="none"/>
        </w:rPr>
        <w:t xml:space="preserve"> </w:t>
      </w:r>
      <w:r/>
    </w:p>
    <w:p>
      <w:pPr>
        <w:ind w:firstLine="480"/>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（供应商名称）</w:t>
      </w:r>
      <w:r>
        <w:rPr>
          <w:rFonts w:hint="eastAsia" w:ascii="仿宋" w:hAnsi="仿宋" w:eastAsia="仿宋" w:cs="仿宋"/>
          <w:color w:val="auto"/>
          <w:sz w:val="24"/>
          <w:szCs w:val="24"/>
          <w:highlight w:val="none"/>
        </w:rPr>
        <w:t xml:space="preserve">郑重承诺：</w:t>
      </w:r>
      <w:r/>
    </w:p>
    <w:p>
      <w:pPr>
        <w:ind w:firstLine="480"/>
        <w:keepLines/>
        <w:keepNext/>
        <w:spacing w:line="48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如我单位中标编号为</w:t>
      </w:r>
      <w:r>
        <w:rPr>
          <w:rFonts w:hint="eastAsia" w:ascii="仿宋" w:hAnsi="仿宋" w:eastAsia="仿宋" w:cs="仿宋"/>
          <w:color w:val="auto"/>
          <w:sz w:val="24"/>
          <w:szCs w:val="24"/>
          <w:highlight w:val="none"/>
          <w:u w:val="single"/>
          <w:lang w:eastAsia="zh-CN"/>
        </w:rPr>
        <w:t xml:space="preserve">JSZC-321300-SSZJ-G2026-0002</w:t>
      </w:r>
      <w:r>
        <w:rPr>
          <w:rFonts w:hint="eastAsia" w:ascii="仿宋" w:hAnsi="仿宋" w:eastAsia="仿宋" w:cs="仿宋"/>
          <w:color w:val="auto"/>
          <w:sz w:val="24"/>
          <w:szCs w:val="24"/>
          <w:highlight w:val="none"/>
        </w:rPr>
        <w:t xml:space="preserve">的</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b/>
          <w:bCs/>
          <w:color w:val="auto"/>
          <w:sz w:val="24"/>
          <w:szCs w:val="24"/>
          <w:highlight w:val="none"/>
          <w:u w:val="single"/>
        </w:rPr>
        <w:t xml:space="preserve">（采购包名称）（采购包号：  ）</w:t>
      </w:r>
      <w:r>
        <w:rPr>
          <w:rFonts w:hint="eastAsia" w:ascii="仿宋" w:hAnsi="仿宋" w:eastAsia="仿宋" w:cs="仿宋"/>
          <w:color w:val="auto"/>
          <w:sz w:val="24"/>
          <w:szCs w:val="24"/>
          <w:highlight w:val="none"/>
        </w:rPr>
        <w:t xml:space="preserve">，将完全按照</w:t>
      </w:r>
      <w:r>
        <w:rPr>
          <w:rFonts w:hint="eastAsia" w:ascii="仿宋" w:hAnsi="仿宋" w:eastAsia="仿宋" w:cs="仿宋"/>
          <w:bCs/>
          <w:color w:val="auto"/>
          <w:sz w:val="24"/>
          <w:szCs w:val="21"/>
          <w:highlight w:val="none"/>
          <w:lang w:val="zh-CN"/>
        </w:rPr>
        <w:t xml:space="preserve">招标文件中“</w:t>
      </w:r>
      <w:r>
        <w:rPr>
          <w:rFonts w:hint="eastAsia" w:ascii="仿宋" w:hAnsi="仿宋" w:eastAsia="仿宋" w:cs="仿宋"/>
          <w:bCs/>
          <w:color w:val="auto"/>
          <w:sz w:val="24"/>
          <w:szCs w:val="21"/>
          <w:highlight w:val="none"/>
        </w:rPr>
        <w:t xml:space="preserve">第四章 采购需求”所有</w:t>
      </w:r>
      <w:r>
        <w:rPr>
          <w:rFonts w:hint="eastAsia" w:ascii="仿宋" w:hAnsi="仿宋" w:eastAsia="仿宋" w:cs="仿宋"/>
          <w:color w:val="auto"/>
          <w:sz w:val="24"/>
          <w:szCs w:val="24"/>
          <w:highlight w:val="none"/>
          <w:shd w:val="clear" w:color="auto" w:fill="ffffff"/>
        </w:rPr>
        <w:t xml:space="preserve">标注 “★” 部分的实质性要求</w:t>
      </w:r>
      <w:r>
        <w:rPr>
          <w:rFonts w:hint="eastAsia" w:ascii="仿宋" w:hAnsi="仿宋" w:eastAsia="仿宋" w:cs="仿宋"/>
          <w:color w:val="auto"/>
          <w:sz w:val="24"/>
          <w:szCs w:val="24"/>
          <w:highlight w:val="none"/>
        </w:rPr>
        <w:t xml:space="preserve">以及我单位中标的投标文件内容和要求进行服务，</w:t>
      </w:r>
      <w:r>
        <w:rPr>
          <w:rFonts w:hint="eastAsia" w:ascii="仿宋" w:hAnsi="仿宋" w:eastAsia="仿宋" w:cs="仿宋"/>
          <w:color w:val="auto"/>
          <w:sz w:val="24"/>
          <w:szCs w:val="21"/>
          <w:highlight w:val="none"/>
        </w:rPr>
        <w:t xml:space="preserve">保障服务工作的顺利开展</w:t>
      </w:r>
      <w:r>
        <w:rPr>
          <w:rFonts w:hint="eastAsia" w:ascii="仿宋" w:hAnsi="仿宋" w:eastAsia="仿宋" w:cs="仿宋"/>
          <w:color w:val="auto"/>
          <w:sz w:val="24"/>
          <w:szCs w:val="24"/>
          <w:highlight w:val="none"/>
        </w:rPr>
        <w:t xml:space="preserve">。</w:t>
      </w:r>
      <w:r/>
    </w:p>
    <w:p>
      <w:pPr>
        <w:ind w:firstLine="480"/>
        <w:keepLines/>
        <w:keepNext/>
        <w:spacing w:before="320" w:after="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w:t>
      </w:r>
      <w:r/>
    </w:p>
    <w:p>
      <w:pPr>
        <w:ind w:firstLine="480"/>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3662"/>
        <w:jc w:val="left"/>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（加盖CA电子公章）</w:t>
      </w:r>
      <w:r/>
    </w:p>
    <w:p>
      <w:pPr>
        <w:ind w:firstLine="3902"/>
        <w:jc w:val="left"/>
        <w:spacing w:line="40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jc w:val="center"/>
        <w:rPr>
          <w:rFonts w:ascii="仿宋" w:hAnsi="仿宋" w:eastAsia="仿宋" w:cs="仿宋"/>
          <w:b/>
          <w:bCs/>
          <w:color w:val="auto"/>
          <w:sz w:val="32"/>
          <w:szCs w:val="32"/>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ascii="仿宋" w:hAnsi="仿宋" w:eastAsia="仿宋" w:cs="仿宋"/>
          <w:b/>
          <w:bCs/>
          <w:color w:val="auto"/>
          <w:sz w:val="32"/>
          <w:szCs w:val="32"/>
          <w:highlight w:val="none"/>
        </w:rPr>
      </w:r>
      <w:r/>
    </w:p>
    <w:p>
      <w:pPr>
        <w:jc w:val="left"/>
        <w:spacing w:before="120" w:after="120"/>
        <w:rPr>
          <w:rFonts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十</w:t>
      </w:r>
      <w:r>
        <w:rPr>
          <w:rFonts w:hint="eastAsia" w:ascii="仿宋" w:hAnsi="仿宋" w:eastAsia="仿宋" w:cs="仿宋"/>
          <w:b/>
          <w:bCs/>
          <w:color w:val="auto"/>
          <w:sz w:val="32"/>
          <w:szCs w:val="32"/>
          <w:highlight w:val="none"/>
          <w:lang w:val="en-US" w:eastAsia="zh-CN"/>
        </w:rPr>
        <w:t xml:space="preserve">三</w:t>
      </w:r>
      <w:r>
        <w:rPr>
          <w:rFonts w:hint="eastAsia" w:ascii="仿宋" w:hAnsi="仿宋" w:eastAsia="仿宋" w:cs="仿宋"/>
          <w:b/>
          <w:bCs/>
          <w:color w:val="auto"/>
          <w:sz w:val="32"/>
          <w:szCs w:val="32"/>
          <w:highlight w:val="none"/>
        </w:rPr>
        <w:t xml:space="preserve">、投标所需其他材料</w:t>
      </w:r>
      <w:bookmarkEnd w:id="177"/>
      <w:r/>
      <w:r/>
    </w:p>
    <w:p>
      <w:pPr>
        <w:ind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请在此文档中增加投标所需其他相关内容（包括资格要求、评分办法、采购需求中涉及的证件证明及其他投标人认为有必要提供的资料），如没有请将此空文档上传。</w:t>
      </w:r>
      <w:bookmarkEnd w:id="118"/>
      <w:r/>
      <w:bookmarkEnd w:id="119"/>
      <w:r/>
      <w:bookmarkEnd w:id="162"/>
      <w:r/>
      <w:r/>
    </w:p>
    <w:p>
      <w:pPr>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772"/>
        <w:rPr>
          <w:rFonts w:ascii="仿宋" w:hAnsi="仿宋" w:eastAsia="仿宋" w:cs="仿宋"/>
          <w:color w:val="auto"/>
          <w:sz w:val="52"/>
          <w:szCs w:val="52"/>
          <w:highlight w:val="none"/>
        </w:rPr>
      </w:pPr>
      <w:r>
        <w:rPr>
          <w:rFonts w:ascii="仿宋" w:hAnsi="仿宋" w:eastAsia="仿宋" w:cs="仿宋"/>
          <w:color w:val="auto"/>
          <w:sz w:val="52"/>
          <w:szCs w:val="52"/>
          <w:highlight w:val="none"/>
        </w:rPr>
      </w:r>
      <w:r/>
    </w:p>
    <w:p>
      <w:pPr>
        <w:pStyle w:val="772"/>
        <w:keepLines w:val="0"/>
        <w:keepNext w:val="0"/>
        <w:pageBreakBefore w:val="0"/>
        <w:spacing w:line="360" w:lineRule="auto"/>
        <w:widowControl w:val="off"/>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keepLines w:val="0"/>
        <w:keepNext w:val="0"/>
        <w:pageBreakBefore w:val="0"/>
        <w:spacing w:line="360" w:lineRule="auto"/>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lang w:val="en-US" w:eastAsia="zh-CN"/>
        </w:rPr>
        <w:t xml:space="preserve">特别提醒：</w:t>
      </w:r>
      <w:r/>
    </w:p>
    <w:p>
      <w:pPr>
        <w:pStyle w:val="772"/>
        <w:ind w:firstLine="561"/>
        <w:keepLines w:val="0"/>
        <w:keepNext w:val="0"/>
        <w:pageBreakBefore w:val="0"/>
        <w:spacing w:line="360" w:lineRule="auto"/>
        <w:widowControl w:val="off"/>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lang w:val="en-US" w:eastAsia="zh-CN" w:bidi="ar-SA"/>
        </w:rPr>
        <w:t xml:space="preserve">苏采云系统开标一览表中的投标报价为“优惠率”的费率，请各投标人填写报价时务必注意。以系统中格式为准，投标人按要求进行填报（例如:若开标一览表填报的报价（优惠率）为10%，则投标费率即为“初步设计批复概算中相应建设征地移民安置监督评估费的90%”）</w:t>
      </w:r>
      <w:r>
        <w:rPr>
          <w:rFonts w:hint="eastAsia" w:ascii="仿宋" w:hAnsi="仿宋" w:eastAsia="仿宋" w:cs="仿宋"/>
          <w:b/>
          <w:bCs/>
          <w:color w:val="auto"/>
          <w:sz w:val="36"/>
          <w:szCs w:val="36"/>
          <w:highlight w:val="none"/>
        </w:rPr>
        <w:t xml:space="preserve">。</w:t>
      </w:r>
      <w:r/>
    </w:p>
    <w:p>
      <w:pPr>
        <w:pStyle w:val="772"/>
        <w:rPr>
          <w:rFonts w:hint="default"/>
          <w:lang w:val="en-US" w:eastAsia="zh-CN"/>
        </w:rPr>
      </w:pPr>
      <w:r>
        <w:rPr>
          <w:rFonts w:hint="default"/>
          <w:lang w:val="en-US" w:eastAsia="zh-CN"/>
        </w:rPr>
      </w:r>
      <w:r/>
    </w:p>
    <w:p>
      <w:pPr>
        <w:rPr>
          <w:rFonts w:ascii="仿宋" w:hAnsi="仿宋" w:eastAsia="仿宋" w:cs="仿宋"/>
          <w:color w:val="auto"/>
          <w:sz w:val="32"/>
          <w:highlight w:val="none"/>
        </w:rPr>
      </w:pPr>
      <w:r>
        <w:rPr>
          <w:rFonts w:ascii="仿宋" w:hAnsi="仿宋" w:eastAsia="仿宋" w:cs="仿宋"/>
          <w:color w:val="auto"/>
          <w:sz w:val="32"/>
          <w:highlight w:val="none"/>
        </w:rPr>
      </w:r>
      <w:r/>
    </w:p>
    <w:p>
      <w:pPr>
        <w:rPr>
          <w:rFonts w:ascii="仿宋" w:hAnsi="仿宋" w:eastAsia="仿宋" w:cs="仿宋"/>
          <w:color w:val="auto"/>
          <w:sz w:val="24"/>
          <w:szCs w:val="24"/>
          <w:highlight w:val="none"/>
        </w:rPr>
      </w:pPr>
      <w:r>
        <w:rPr>
          <w:rFonts w:ascii="仿宋" w:hAnsi="仿宋" w:eastAsia="仿宋" w:cs="仿宋"/>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Courier New">
    <w:panose1 w:val="02070309020205020404"/>
  </w:font>
  <w:font w:name="楷体_GB2312">
    <w:panose1 w:val="02010609060101010101"/>
  </w:font>
  <w:font w:name="Calibri">
    <w:panose1 w:val="020F0502020204030204"/>
  </w:font>
  <w:font w:name="Symbol">
    <w:panose1 w:val="05050102010706020507"/>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4465" cy="15303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4259" cy="153339"/>
                      </a:xfrm>
                      <a:prstGeom prst="rect">
                        <a:avLst/>
                      </a:prstGeom>
                      <a:noFill/>
                      <a:ln>
                        <a:noFill/>
                      </a:ln>
                    </wps:spPr>
                    <wps:txbx>
                      <w:txbxContent>
                        <w:p>
                          <w:r>
                            <w:fldChar w:fldCharType="begin"/>
                          </w:r>
                          <w:r>
                            <w:instrText xml:space="preserve"> PAGE  \* MERGEFORMAT </w:instrText>
                          </w:r>
                          <w:r>
                            <w:fldChar w:fldCharType="separate"/>
                          </w:r>
                          <w:r>
                            <w:t xml:space="preserve">5</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2.9pt;height:12.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2875915</wp:posOffset>
              </wp:positionH>
              <wp:positionV relativeFrom="paragraph">
                <wp:posOffset>6350</wp:posOffset>
              </wp:positionV>
              <wp:extent cx="163195" cy="15303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3237" cy="153339"/>
                      </a:xfrm>
                      <a:prstGeom prst="rect">
                        <a:avLst/>
                      </a:prstGeom>
                      <a:noFill/>
                      <a:ln>
                        <a:noFill/>
                      </a:ln>
                    </wps:spPr>
                    <wps:txbx>
                      <w:txbxContent>
                        <w:p>
                          <w:r>
                            <w:fldChar w:fldCharType="begin"/>
                          </w:r>
                          <w:r>
                            <w:instrText xml:space="preserve"> PAGE  \* MERGEFORMAT </w:instrText>
                          </w:r>
                          <w:r>
                            <w:fldChar w:fldCharType="separate"/>
                          </w:r>
                          <w:r>
                            <w:t xml:space="preserve">6</w:t>
                          </w:r>
                          <w: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226.4pt;mso-position-horizontal:absolute;mso-position-vertical-relative:text;margin-top:0.5pt;mso-position-vertical:absolute;width:12.8pt;height:12.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1">
    <w:name w:val="Heading 1"/>
    <w:basedOn w:val="760"/>
    <w:next w:val="760"/>
    <w:link w:val="824"/>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25"/>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26"/>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27"/>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28"/>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29"/>
    <w:uiPriority w:val="9"/>
    <w:unhideWhenUsed/>
    <w:qFormat/>
    <w:pPr>
      <w:keepLines/>
      <w:keepNext/>
      <w:spacing w:before="320" w:after="200"/>
      <w:outlineLvl w:val="5"/>
    </w:pPr>
    <w:rPr>
      <w:rFonts w:ascii="Arial" w:hAnsi="Arial" w:eastAsia="Arial" w:cs="Arial"/>
      <w:b/>
      <w:bCs/>
      <w:sz w:val="22"/>
    </w:rPr>
  </w:style>
  <w:style w:type="paragraph" w:styleId="767">
    <w:name w:val="Heading 7"/>
    <w:basedOn w:val="760"/>
    <w:next w:val="760"/>
    <w:link w:val="830"/>
    <w:uiPriority w:val="9"/>
    <w:unhideWhenUsed/>
    <w:qFormat/>
    <w:pPr>
      <w:keepLines/>
      <w:keepNext/>
      <w:spacing w:before="320" w:after="200"/>
      <w:outlineLvl w:val="6"/>
    </w:pPr>
    <w:rPr>
      <w:rFonts w:ascii="Arial" w:hAnsi="Arial" w:eastAsia="Arial" w:cs="Arial"/>
      <w:b/>
      <w:bCs/>
      <w:i/>
      <w:iCs/>
      <w:sz w:val="22"/>
    </w:rPr>
  </w:style>
  <w:style w:type="paragraph" w:styleId="768">
    <w:name w:val="Heading 8"/>
    <w:basedOn w:val="760"/>
    <w:next w:val="760"/>
    <w:link w:val="831"/>
    <w:uiPriority w:val="9"/>
    <w:unhideWhenUsed/>
    <w:qFormat/>
    <w:pPr>
      <w:keepLines/>
      <w:keepNext/>
      <w:spacing w:before="320" w:after="200"/>
      <w:outlineLvl w:val="7"/>
    </w:pPr>
    <w:rPr>
      <w:rFonts w:ascii="Arial" w:hAnsi="Arial" w:eastAsia="Arial" w:cs="Arial"/>
      <w:i/>
      <w:iCs/>
      <w:sz w:val="22"/>
    </w:rPr>
  </w:style>
  <w:style w:type="paragraph" w:styleId="769">
    <w:name w:val="Heading 9"/>
    <w:basedOn w:val="760"/>
    <w:next w:val="760"/>
    <w:link w:val="832"/>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Body Text First Indent"/>
    <w:basedOn w:val="773"/>
    <w:uiPriority w:val="99"/>
    <w:qFormat/>
    <w:pPr>
      <w:ind w:firstLine="560"/>
    </w:pPr>
    <w:rPr>
      <w:rFonts w:ascii="黑体" w:hAnsi="Times New Roman" w:cs="Times New Roman"/>
      <w:sz w:val="32"/>
      <w:szCs w:val="21"/>
    </w:rPr>
  </w:style>
  <w:style w:type="paragraph" w:styleId="773">
    <w:name w:val="Body Text"/>
    <w:basedOn w:val="760"/>
    <w:link w:val="984"/>
    <w:uiPriority w:val="1"/>
    <w:qFormat/>
    <w:pPr>
      <w:jc w:val="left"/>
    </w:pPr>
    <w:rPr>
      <w:rFonts w:ascii="宋体" w:hAnsi="宋体" w:cs="宋体"/>
      <w:sz w:val="27"/>
      <w:szCs w:val="27"/>
      <w:lang w:eastAsia="en-US"/>
    </w:rPr>
  </w:style>
  <w:style w:type="paragraph" w:styleId="774">
    <w:name w:val="toc 7"/>
    <w:basedOn w:val="760"/>
    <w:next w:val="760"/>
    <w:uiPriority w:val="39"/>
    <w:unhideWhenUsed/>
    <w:qFormat/>
    <w:pPr>
      <w:ind w:left="1701"/>
      <w:spacing w:after="57"/>
    </w:pPr>
  </w:style>
  <w:style w:type="paragraph" w:styleId="775">
    <w:name w:val="Normal Indent"/>
    <w:basedOn w:val="760"/>
    <w:next w:val="760"/>
    <w:uiPriority w:val="99"/>
    <w:qFormat/>
    <w:pPr>
      <w:ind w:firstLine="420"/>
    </w:pPr>
  </w:style>
  <w:style w:type="paragraph" w:styleId="776">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7">
    <w:name w:val="annotation text"/>
    <w:basedOn w:val="760"/>
    <w:link w:val="991"/>
    <w:uiPriority w:val="99"/>
    <w:semiHidden/>
    <w:unhideWhenUsed/>
    <w:qFormat/>
    <w:pPr>
      <w:jc w:val="left"/>
    </w:pPr>
  </w:style>
  <w:style w:type="paragraph" w:styleId="778">
    <w:name w:val="Body Text Indent"/>
    <w:basedOn w:val="760"/>
    <w:uiPriority w:val="0"/>
    <w:qFormat/>
    <w:pPr>
      <w:ind w:firstLine="225"/>
    </w:pPr>
    <w:rPr>
      <w:rFonts w:ascii="仿宋_GB2312" w:eastAsia="仿宋_GB2312"/>
      <w:sz w:val="32"/>
    </w:rPr>
  </w:style>
  <w:style w:type="paragraph" w:styleId="779">
    <w:name w:val="toc 5"/>
    <w:basedOn w:val="760"/>
    <w:next w:val="760"/>
    <w:uiPriority w:val="39"/>
    <w:unhideWhenUsed/>
    <w:qFormat/>
    <w:pPr>
      <w:ind w:left="1134"/>
      <w:spacing w:after="57"/>
    </w:pPr>
  </w:style>
  <w:style w:type="paragraph" w:styleId="780">
    <w:name w:val="toc 3"/>
    <w:basedOn w:val="760"/>
    <w:next w:val="760"/>
    <w:uiPriority w:val="39"/>
    <w:unhideWhenUsed/>
    <w:qFormat/>
    <w:pPr>
      <w:ind w:left="567"/>
      <w:spacing w:after="57"/>
    </w:pPr>
  </w:style>
  <w:style w:type="paragraph" w:styleId="781">
    <w:name w:val="toc 8"/>
    <w:basedOn w:val="760"/>
    <w:next w:val="760"/>
    <w:uiPriority w:val="39"/>
    <w:unhideWhenUsed/>
    <w:qFormat/>
    <w:pPr>
      <w:ind w:left="1984"/>
      <w:spacing w:after="57"/>
    </w:pPr>
  </w:style>
  <w:style w:type="paragraph" w:styleId="782">
    <w:name w:val="endnote text"/>
    <w:basedOn w:val="760"/>
    <w:link w:val="970"/>
    <w:uiPriority w:val="99"/>
    <w:semiHidden/>
    <w:unhideWhenUsed/>
    <w:qFormat/>
    <w:rPr>
      <w:sz w:val="20"/>
    </w:rPr>
  </w:style>
  <w:style w:type="paragraph" w:styleId="783">
    <w:name w:val="Balloon Text"/>
    <w:basedOn w:val="760"/>
    <w:link w:val="990"/>
    <w:uiPriority w:val="99"/>
    <w:semiHidden/>
    <w:unhideWhenUsed/>
    <w:qFormat/>
    <w:rPr>
      <w:sz w:val="18"/>
      <w:szCs w:val="18"/>
    </w:rPr>
  </w:style>
  <w:style w:type="paragraph" w:styleId="784">
    <w:name w:val="Footer"/>
    <w:basedOn w:val="760"/>
    <w:link w:val="843"/>
    <w:uiPriority w:val="99"/>
    <w:unhideWhenUsed/>
    <w:qFormat/>
    <w:pPr>
      <w:tabs>
        <w:tab w:val="center" w:pos="7143" w:leader="none"/>
        <w:tab w:val="right" w:pos="14287" w:leader="none"/>
      </w:tabs>
    </w:pPr>
  </w:style>
  <w:style w:type="paragraph" w:styleId="785">
    <w:name w:val="Header"/>
    <w:basedOn w:val="760"/>
    <w:link w:val="841"/>
    <w:uiPriority w:val="99"/>
    <w:unhideWhenUsed/>
    <w:qFormat/>
    <w:pPr>
      <w:tabs>
        <w:tab w:val="center" w:pos="7143" w:leader="none"/>
        <w:tab w:val="right" w:pos="14287" w:leader="none"/>
      </w:tabs>
    </w:p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36"/>
    <w:uiPriority w:val="11"/>
    <w:qFormat/>
    <w:pPr>
      <w:spacing w:before="200" w:after="200"/>
    </w:pPr>
    <w:rPr>
      <w:sz w:val="24"/>
      <w:szCs w:val="24"/>
    </w:rPr>
  </w:style>
  <w:style w:type="paragraph" w:styleId="789">
    <w:name w:val="footnote text"/>
    <w:basedOn w:val="760"/>
    <w:link w:val="969"/>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Normal (Web)"/>
    <w:basedOn w:val="760"/>
    <w:uiPriority w:val="99"/>
    <w:semiHidden/>
    <w:unhideWhenUsed/>
    <w:qFormat/>
    <w:pPr>
      <w:jc w:val="left"/>
      <w:spacing w:beforeAutospacing="1" w:afterAutospacing="1"/>
    </w:pPr>
    <w:rPr>
      <w:rFonts w:cs="Times New Roman"/>
      <w:sz w:val="24"/>
    </w:rPr>
  </w:style>
  <w:style w:type="paragraph" w:styleId="795">
    <w:name w:val="Title"/>
    <w:basedOn w:val="760"/>
    <w:next w:val="760"/>
    <w:link w:val="835"/>
    <w:uiPriority w:val="10"/>
    <w:qFormat/>
    <w:pPr>
      <w:contextualSpacing/>
      <w:spacing w:before="300" w:after="200"/>
    </w:pPr>
    <w:rPr>
      <w:sz w:val="48"/>
      <w:szCs w:val="48"/>
    </w:rPr>
  </w:style>
  <w:style w:type="paragraph" w:styleId="796">
    <w:name w:val="annotation subject"/>
    <w:basedOn w:val="777"/>
    <w:next w:val="777"/>
    <w:link w:val="992"/>
    <w:uiPriority w:val="99"/>
    <w:semiHidden/>
    <w:unhideWhenUsed/>
    <w:qFormat/>
    <w:rPr>
      <w:b/>
      <w:bCs/>
    </w:rPr>
  </w:style>
  <w:style w:type="paragraph" w:styleId="797">
    <w:name w:val="Body Text First Indent 2"/>
    <w:basedOn w:val="778"/>
    <w:uiPriority w:val="0"/>
    <w:qFormat/>
    <w:pPr>
      <w:ind w:firstLine="420"/>
    </w:pPr>
  </w:style>
  <w:style w:type="table" w:styleId="798">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70"/>
    <w:uiPriority w:val="22"/>
    <w:qFormat/>
    <w:rPr>
      <w:b/>
    </w:rPr>
  </w:style>
  <w:style w:type="character" w:styleId="800">
    <w:name w:val="endnote reference"/>
    <w:basedOn w:val="770"/>
    <w:uiPriority w:val="99"/>
    <w:semiHidden/>
    <w:unhideWhenUsed/>
    <w:qFormat/>
    <w:rPr>
      <w:vertAlign w:val="superscript"/>
    </w:rPr>
  </w:style>
  <w:style w:type="character" w:styleId="801">
    <w:name w:val="FollowedHyperlink"/>
    <w:basedOn w:val="770"/>
    <w:uiPriority w:val="99"/>
    <w:semiHidden/>
    <w:unhideWhenUsed/>
    <w:qFormat/>
    <w:rPr>
      <w:color w:val="800080"/>
      <w:u w:val="single"/>
    </w:rPr>
  </w:style>
  <w:style w:type="character" w:styleId="802">
    <w:name w:val="Hyperlink"/>
    <w:uiPriority w:val="99"/>
    <w:unhideWhenUsed/>
    <w:qFormat/>
    <w:rPr>
      <w:color w:val="0000ff" w:themeColor="hyperlink"/>
      <w:u w:val="single"/>
      <w14:textFill>
        <w14:solidFill>
          <w14:schemeClr w14:val="hlink"/>
        </w14:solidFill>
      </w14:textFill>
    </w:rPr>
  </w:style>
  <w:style w:type="character" w:styleId="803">
    <w:name w:val="annotation reference"/>
    <w:basedOn w:val="770"/>
    <w:uiPriority w:val="99"/>
    <w:semiHidden/>
    <w:unhideWhenUsed/>
    <w:qFormat/>
    <w:rPr>
      <w:sz w:val="21"/>
      <w:szCs w:val="21"/>
    </w:rPr>
  </w:style>
  <w:style w:type="character" w:styleId="804">
    <w:name w:val="footnote reference"/>
    <w:basedOn w:val="770"/>
    <w:uiPriority w:val="99"/>
    <w:unhideWhenUsed/>
    <w:qFormat/>
    <w:rPr>
      <w:vertAlign w:val="superscript"/>
    </w:rPr>
  </w:style>
  <w:style w:type="character" w:styleId="805" w:customStyle="1">
    <w:name w:val="Heading 1 Char"/>
    <w:basedOn w:val="770"/>
    <w:uiPriority w:val="9"/>
    <w:qFormat/>
    <w:rPr>
      <w:rFonts w:ascii="Arial" w:hAnsi="Arial" w:eastAsia="Arial" w:cs="Arial"/>
      <w:sz w:val="40"/>
      <w:szCs w:val="40"/>
    </w:rPr>
  </w:style>
  <w:style w:type="character" w:styleId="806" w:customStyle="1">
    <w:name w:val="Heading 2 Char"/>
    <w:basedOn w:val="770"/>
    <w:uiPriority w:val="9"/>
    <w:qFormat/>
    <w:rPr>
      <w:rFonts w:ascii="Arial" w:hAnsi="Arial" w:eastAsia="Arial" w:cs="Arial"/>
      <w:sz w:val="34"/>
    </w:rPr>
  </w:style>
  <w:style w:type="character" w:styleId="807" w:customStyle="1">
    <w:name w:val="Heading 3 Char"/>
    <w:basedOn w:val="770"/>
    <w:uiPriority w:val="9"/>
    <w:qFormat/>
    <w:rPr>
      <w:rFonts w:ascii="Arial" w:hAnsi="Arial" w:eastAsia="Arial" w:cs="Arial"/>
      <w:sz w:val="30"/>
      <w:szCs w:val="30"/>
    </w:rPr>
  </w:style>
  <w:style w:type="character" w:styleId="808" w:customStyle="1">
    <w:name w:val="Heading 4 Char"/>
    <w:basedOn w:val="770"/>
    <w:uiPriority w:val="9"/>
    <w:qFormat/>
    <w:rPr>
      <w:rFonts w:ascii="Arial" w:hAnsi="Arial" w:eastAsia="Arial" w:cs="Arial"/>
      <w:b/>
      <w:bCs/>
      <w:sz w:val="26"/>
      <w:szCs w:val="26"/>
    </w:rPr>
  </w:style>
  <w:style w:type="character" w:styleId="809" w:customStyle="1">
    <w:name w:val="Heading 5 Char"/>
    <w:basedOn w:val="770"/>
    <w:uiPriority w:val="9"/>
    <w:qFormat/>
    <w:rPr>
      <w:rFonts w:ascii="Arial" w:hAnsi="Arial" w:eastAsia="Arial" w:cs="Arial"/>
      <w:b/>
      <w:bCs/>
      <w:sz w:val="24"/>
      <w:szCs w:val="24"/>
    </w:rPr>
  </w:style>
  <w:style w:type="character" w:styleId="810" w:customStyle="1">
    <w:name w:val="Heading 6 Char"/>
    <w:basedOn w:val="770"/>
    <w:uiPriority w:val="9"/>
    <w:qFormat/>
    <w:rPr>
      <w:rFonts w:ascii="Arial" w:hAnsi="Arial" w:eastAsia="Arial" w:cs="Arial"/>
      <w:b/>
      <w:bCs/>
      <w:sz w:val="22"/>
      <w:szCs w:val="22"/>
    </w:rPr>
  </w:style>
  <w:style w:type="character" w:styleId="811" w:customStyle="1">
    <w:name w:val="Heading 7 Char"/>
    <w:basedOn w:val="770"/>
    <w:uiPriority w:val="9"/>
    <w:qFormat/>
    <w:rPr>
      <w:rFonts w:ascii="Arial" w:hAnsi="Arial" w:eastAsia="Arial" w:cs="Arial"/>
      <w:b/>
      <w:bCs/>
      <w:i/>
      <w:iCs/>
      <w:sz w:val="22"/>
      <w:szCs w:val="22"/>
    </w:rPr>
  </w:style>
  <w:style w:type="character" w:styleId="812" w:customStyle="1">
    <w:name w:val="Heading 8 Char"/>
    <w:basedOn w:val="770"/>
    <w:uiPriority w:val="9"/>
    <w:qFormat/>
    <w:rPr>
      <w:rFonts w:ascii="Arial" w:hAnsi="Arial" w:eastAsia="Arial" w:cs="Arial"/>
      <w:i/>
      <w:iCs/>
      <w:sz w:val="22"/>
      <w:szCs w:val="22"/>
    </w:rPr>
  </w:style>
  <w:style w:type="character" w:styleId="813" w:customStyle="1">
    <w:name w:val="Heading 9 Char"/>
    <w:basedOn w:val="770"/>
    <w:uiPriority w:val="9"/>
    <w:qFormat/>
    <w:rPr>
      <w:rFonts w:ascii="Arial" w:hAnsi="Arial" w:eastAsia="Arial" w:cs="Arial"/>
      <w:i/>
      <w:iCs/>
      <w:sz w:val="21"/>
      <w:szCs w:val="21"/>
    </w:rPr>
  </w:style>
  <w:style w:type="character" w:styleId="814" w:customStyle="1">
    <w:name w:val="Title Char"/>
    <w:basedOn w:val="770"/>
    <w:uiPriority w:val="10"/>
    <w:qFormat/>
    <w:rPr>
      <w:sz w:val="48"/>
      <w:szCs w:val="48"/>
    </w:rPr>
  </w:style>
  <w:style w:type="character" w:styleId="815" w:customStyle="1">
    <w:name w:val="Subtitle Char"/>
    <w:basedOn w:val="770"/>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character" w:styleId="818" w:customStyle="1">
    <w:name w:val="Header Char"/>
    <w:basedOn w:val="770"/>
    <w:uiPriority w:val="99"/>
    <w:qFormat/>
  </w:style>
  <w:style w:type="character" w:styleId="819" w:customStyle="1">
    <w:name w:val="Caption Char"/>
    <w:uiPriority w:val="99"/>
    <w:qFormat/>
  </w:style>
  <w:style w:type="character" w:styleId="820" w:customStyle="1">
    <w:name w:val="Footnote Text Char"/>
    <w:uiPriority w:val="99"/>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824" w:customStyle="1">
    <w:name w:val="标题 1 Char"/>
    <w:basedOn w:val="770"/>
    <w:link w:val="761"/>
    <w:uiPriority w:val="9"/>
    <w:qFormat/>
    <w:rPr>
      <w:rFonts w:ascii="Arial" w:hAnsi="Arial" w:eastAsia="Arial" w:cs="Arial"/>
      <w:sz w:val="40"/>
      <w:szCs w:val="40"/>
    </w:rPr>
  </w:style>
  <w:style w:type="character" w:styleId="825" w:customStyle="1">
    <w:name w:val="标题 2 Char"/>
    <w:basedOn w:val="770"/>
    <w:link w:val="762"/>
    <w:uiPriority w:val="9"/>
    <w:qFormat/>
    <w:rPr>
      <w:rFonts w:ascii="Arial" w:hAnsi="Arial" w:eastAsia="Arial" w:cs="Arial"/>
      <w:sz w:val="34"/>
    </w:rPr>
  </w:style>
  <w:style w:type="character" w:styleId="826" w:customStyle="1">
    <w:name w:val="标题 3 Char"/>
    <w:basedOn w:val="770"/>
    <w:link w:val="763"/>
    <w:uiPriority w:val="9"/>
    <w:qFormat/>
    <w:rPr>
      <w:rFonts w:ascii="Arial" w:hAnsi="Arial" w:eastAsia="Arial" w:cs="Arial"/>
      <w:sz w:val="30"/>
      <w:szCs w:val="30"/>
    </w:rPr>
  </w:style>
  <w:style w:type="character" w:styleId="827" w:customStyle="1">
    <w:name w:val="标题 4 Char"/>
    <w:basedOn w:val="770"/>
    <w:link w:val="764"/>
    <w:uiPriority w:val="9"/>
    <w:qFormat/>
    <w:rPr>
      <w:rFonts w:ascii="Arial" w:hAnsi="Arial" w:eastAsia="Arial" w:cs="Arial"/>
      <w:b/>
      <w:bCs/>
      <w:sz w:val="26"/>
      <w:szCs w:val="26"/>
    </w:rPr>
  </w:style>
  <w:style w:type="character" w:styleId="828" w:customStyle="1">
    <w:name w:val="标题 5 Char"/>
    <w:basedOn w:val="770"/>
    <w:link w:val="765"/>
    <w:uiPriority w:val="9"/>
    <w:qFormat/>
    <w:rPr>
      <w:rFonts w:ascii="Arial" w:hAnsi="Arial" w:eastAsia="Arial" w:cs="Arial"/>
      <w:b/>
      <w:bCs/>
      <w:sz w:val="24"/>
      <w:szCs w:val="24"/>
    </w:rPr>
  </w:style>
  <w:style w:type="character" w:styleId="829" w:customStyle="1">
    <w:name w:val="标题 6 Char"/>
    <w:basedOn w:val="770"/>
    <w:link w:val="766"/>
    <w:uiPriority w:val="9"/>
    <w:qFormat/>
    <w:rPr>
      <w:rFonts w:ascii="Arial" w:hAnsi="Arial" w:eastAsia="Arial" w:cs="Arial"/>
      <w:b/>
      <w:bCs/>
      <w:sz w:val="22"/>
      <w:szCs w:val="22"/>
    </w:rPr>
  </w:style>
  <w:style w:type="character" w:styleId="830" w:customStyle="1">
    <w:name w:val="标题 7 Char"/>
    <w:basedOn w:val="770"/>
    <w:link w:val="767"/>
    <w:uiPriority w:val="9"/>
    <w:qFormat/>
    <w:rPr>
      <w:rFonts w:ascii="Arial" w:hAnsi="Arial" w:eastAsia="Arial" w:cs="Arial"/>
      <w:b/>
      <w:bCs/>
      <w:i/>
      <w:iCs/>
      <w:sz w:val="22"/>
      <w:szCs w:val="22"/>
    </w:rPr>
  </w:style>
  <w:style w:type="character" w:styleId="831" w:customStyle="1">
    <w:name w:val="标题 8 Char"/>
    <w:basedOn w:val="770"/>
    <w:link w:val="768"/>
    <w:uiPriority w:val="9"/>
    <w:qFormat/>
    <w:rPr>
      <w:rFonts w:ascii="Arial" w:hAnsi="Arial" w:eastAsia="Arial" w:cs="Arial"/>
      <w:i/>
      <w:iCs/>
      <w:sz w:val="22"/>
      <w:szCs w:val="22"/>
    </w:rPr>
  </w:style>
  <w:style w:type="character" w:styleId="832" w:customStyle="1">
    <w:name w:val="标题 9 Char"/>
    <w:basedOn w:val="770"/>
    <w:link w:val="769"/>
    <w:uiPriority w:val="9"/>
    <w:qFormat/>
    <w:rPr>
      <w:rFonts w:ascii="Arial" w:hAnsi="Arial" w:eastAsia="Arial" w:cs="Arial"/>
      <w:i/>
      <w:iCs/>
      <w:sz w:val="21"/>
      <w:szCs w:val="21"/>
    </w:rPr>
  </w:style>
  <w:style w:type="paragraph" w:styleId="833">
    <w:name w:val="List Paragraph"/>
    <w:basedOn w:val="760"/>
    <w:uiPriority w:val="34"/>
    <w:qFormat/>
    <w:pPr>
      <w:contextualSpacing/>
      <w:ind w:left="720"/>
    </w:pPr>
  </w:style>
  <w:style w:type="paragraph" w:styleId="834">
    <w:name w:val="No Spacing"/>
    <w:uiPriority w:val="1"/>
    <w:qFormat/>
    <w:rPr>
      <w:rFonts w:hint="default" w:ascii="Times New Roman" w:hAnsi="Times New Roman" w:eastAsia="宋体" w:cs="Times New Roman"/>
      <w:lang w:val="en-US" w:eastAsia="zh-CN" w:bidi="ar-SA"/>
    </w:rPr>
  </w:style>
  <w:style w:type="character" w:styleId="835" w:customStyle="1">
    <w:name w:val="标题 Char"/>
    <w:basedOn w:val="770"/>
    <w:link w:val="795"/>
    <w:uiPriority w:val="10"/>
    <w:qFormat/>
    <w:rPr>
      <w:sz w:val="48"/>
      <w:szCs w:val="48"/>
    </w:rPr>
  </w:style>
  <w:style w:type="character" w:styleId="836" w:customStyle="1">
    <w:name w:val="副标题 Char"/>
    <w:basedOn w:val="770"/>
    <w:link w:val="788"/>
    <w:uiPriority w:val="11"/>
    <w:qFormat/>
    <w:rPr>
      <w:sz w:val="24"/>
      <w:szCs w:val="24"/>
    </w:rPr>
  </w:style>
  <w:style w:type="paragraph" w:styleId="837">
    <w:name w:val="Quote"/>
    <w:basedOn w:val="760"/>
    <w:next w:val="760"/>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60"/>
    <w:next w:val="76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页眉 Char"/>
    <w:basedOn w:val="770"/>
    <w:link w:val="785"/>
    <w:uiPriority w:val="99"/>
    <w:qFormat/>
  </w:style>
  <w:style w:type="character" w:styleId="842" w:customStyle="1">
    <w:name w:val="Footer Char"/>
    <w:basedOn w:val="770"/>
    <w:link w:val="784"/>
    <w:uiPriority w:val="99"/>
    <w:qFormat/>
  </w:style>
  <w:style w:type="character" w:styleId="843" w:customStyle="1">
    <w:name w:val="页脚 Char"/>
    <w:link w:val="784"/>
    <w:uiPriority w:val="99"/>
    <w:qFormat/>
  </w:style>
  <w:style w:type="table" w:styleId="844"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7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7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7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7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7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7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7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7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basedOn w:val="77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basedOn w:val="77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basedOn w:val="77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basedOn w:val="77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basedOn w:val="77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7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7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basedOn w:val="7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7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basedOn w:val="77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7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7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7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7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7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7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7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7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7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7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7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7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7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7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basedOn w:val="77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basedOn w:val="77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basedOn w:val="77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basedOn w:val="77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basedOn w:val="77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7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basedOn w:val="77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7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7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7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7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7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basedOn w:val="77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basedOn w:val="77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basedOn w:val="77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basedOn w:val="77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basedOn w:val="77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7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7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7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7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7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7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7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7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basedOn w:val="77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basedOn w:val="77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basedOn w:val="77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basedOn w:val="77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basedOn w:val="77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basedOn w:val="77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7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7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7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7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7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7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basedOn w:val="77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7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basedOn w:val="77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basedOn w:val="77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basedOn w:val="77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basedOn w:val="77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basedOn w:val="77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7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basedOn w:val="77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basedOn w:val="77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basedOn w:val="77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basedOn w:val="77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basedOn w:val="77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脚注文本 Char"/>
    <w:link w:val="789"/>
    <w:uiPriority w:val="99"/>
    <w:qFormat/>
    <w:rPr>
      <w:sz w:val="18"/>
    </w:rPr>
  </w:style>
  <w:style w:type="character" w:styleId="970" w:customStyle="1">
    <w:name w:val="尾注文本 Char"/>
    <w:link w:val="782"/>
    <w:uiPriority w:val="99"/>
    <w:qFormat/>
    <w:rPr>
      <w:sz w:val="20"/>
    </w:rPr>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character" w:styleId="972" w:customStyle="1">
    <w:name w:val="custom-tag-placeholder-class"/>
    <w:uiPriority w:val="0"/>
    <w:qFormat/>
    <w:rPr>
      <w:rFonts w:asciiTheme="minorHAnsi" w:hAnsiTheme="minorHAnsi" w:eastAsiaTheme="minorEastAsia" w:cstheme="minorBidi"/>
      <w:sz w:val="21"/>
      <w:szCs w:val="22"/>
    </w:rPr>
  </w:style>
  <w:style w:type="paragraph" w:styleId="97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_3"/>
    <w:next w:val="975"/>
    <w:uiPriority w:val="0"/>
    <w:qFormat/>
    <w:pPr>
      <w:jc w:val="both"/>
      <w:widowControl w:val="off"/>
    </w:pPr>
    <w:rPr>
      <w:rFonts w:hint="default" w:ascii="Calibri" w:hAnsi="Calibri" w:eastAsia="宋体" w:cs="Times New Roman"/>
      <w:sz w:val="21"/>
      <w:szCs w:val="22"/>
      <w:lang w:val="en-US" w:eastAsia="zh-CN" w:bidi="ar-SA"/>
    </w:rPr>
  </w:style>
  <w:style w:type="paragraph" w:styleId="975" w:customStyle="1">
    <w:name w:val="正文首行缩进 2_1"/>
    <w:basedOn w:val="976"/>
    <w:next w:val="978"/>
    <w:uiPriority w:val="0"/>
    <w:qFormat/>
    <w:pPr>
      <w:ind w:left="200" w:firstLine="200"/>
      <w:spacing w:after="120"/>
    </w:pPr>
    <w:rPr>
      <w:rFonts w:ascii="Times New Roman"/>
      <w:szCs w:val="24"/>
    </w:rPr>
  </w:style>
  <w:style w:type="paragraph" w:styleId="976" w:customStyle="1">
    <w:name w:val="正文文本缩进_1"/>
    <w:basedOn w:val="977"/>
    <w:next w:val="975"/>
    <w:uiPriority w:val="0"/>
    <w:qFormat/>
    <w:pPr>
      <w:ind w:firstLine="225"/>
    </w:pPr>
    <w:rPr>
      <w:rFonts w:ascii="仿宋_GB2312" w:eastAsia="仿宋_GB2312"/>
      <w:sz w:val="32"/>
    </w:rPr>
  </w:style>
  <w:style w:type="paragraph" w:styleId="977" w:customStyle="1">
    <w:name w:val="正文_18"/>
    <w:next w:val="976"/>
    <w:uiPriority w:val="0"/>
    <w:qFormat/>
    <w:pPr>
      <w:jc w:val="both"/>
      <w:widowControl w:val="off"/>
    </w:pPr>
    <w:rPr>
      <w:rFonts w:hint="default" w:ascii="Calibri" w:hAnsi="Calibri" w:eastAsia="宋体" w:cs="Times New Roman"/>
      <w:sz w:val="21"/>
      <w:szCs w:val="22"/>
      <w:lang w:val="en-US" w:eastAsia="zh-CN" w:bidi="ar-SA"/>
    </w:rPr>
  </w:style>
  <w:style w:type="paragraph" w:styleId="978" w:customStyle="1">
    <w:name w:val="xl53_0"/>
    <w:next w:val="97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979"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980" w:customStyle="1">
    <w:name w:val="Normal_3_0"/>
    <w:uiPriority w:val="0"/>
    <w:qFormat/>
    <w:rPr>
      <w:rFonts w:hint="default" w:ascii="黑体" w:hAnsi="黑体" w:eastAsia="黑体" w:cs="Times New Roman"/>
      <w:b/>
      <w:sz w:val="32"/>
      <w:szCs w:val="24"/>
      <w:lang w:val="en-US" w:eastAsia="zh-CN" w:bidi="ar-SA"/>
    </w:rPr>
  </w:style>
  <w:style w:type="paragraph" w:styleId="98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982" w:customStyle="1">
    <w:name w:val="正文文本11"/>
    <w:basedOn w:val="760"/>
    <w:next w:val="983"/>
    <w:uiPriority w:val="0"/>
    <w:qFormat/>
    <w:rPr>
      <w:rFonts w:ascii="楷体_GB2312" w:hAnsi="Arial" w:eastAsia="楷体_GB2312"/>
      <w:sz w:val="28"/>
      <w:szCs w:val="28"/>
    </w:rPr>
  </w:style>
  <w:style w:type="paragraph" w:styleId="983" w:customStyle="1">
    <w:name w:val="正文缩进11"/>
    <w:basedOn w:val="760"/>
    <w:next w:val="760"/>
    <w:uiPriority w:val="0"/>
    <w:qFormat/>
    <w:pPr>
      <w:ind w:firstLine="420"/>
    </w:pPr>
  </w:style>
  <w:style w:type="character" w:styleId="984" w:customStyle="1">
    <w:name w:val="正文文本 Char"/>
    <w:link w:val="773"/>
    <w:uiPriority w:val="1"/>
    <w:qFormat/>
    <w:rPr>
      <w:rFonts w:ascii="宋体" w:hAnsi="宋体" w:cs="宋体"/>
      <w:sz w:val="27"/>
      <w:szCs w:val="27"/>
      <w:lang w:eastAsia="en-US"/>
    </w:rPr>
  </w:style>
  <w:style w:type="paragraph" w:styleId="985" w:customStyle="1">
    <w:name w:val="Normal_20"/>
    <w:next w:val="986"/>
    <w:uiPriority w:val="0"/>
    <w:qFormat/>
    <w:rPr>
      <w:rFonts w:hint="default" w:ascii="黑体" w:hAnsi="黑体" w:eastAsia="黑体" w:cs="黑体"/>
      <w:b/>
      <w:sz w:val="32"/>
      <w:szCs w:val="24"/>
      <w:lang w:val="en-US" w:eastAsia="zh-CN" w:bidi="ar-SA"/>
    </w:rPr>
  </w:style>
  <w:style w:type="paragraph" w:styleId="986" w:customStyle="1">
    <w:name w:val="Body Text First Indent 2_0"/>
    <w:basedOn w:val="987"/>
    <w:next w:val="985"/>
    <w:uiPriority w:val="0"/>
    <w:qFormat/>
    <w:pPr>
      <w:ind w:left="200" w:firstLine="200"/>
      <w:spacing w:after="120"/>
    </w:pPr>
    <w:rPr>
      <w:rFonts w:ascii="Times New Roman" w:hAnsi="Times New Roman" w:eastAsia="Times New Roman"/>
      <w:sz w:val="24"/>
    </w:rPr>
  </w:style>
  <w:style w:type="paragraph" w:styleId="987" w:customStyle="1">
    <w:name w:val="Body Text Indent_0"/>
    <w:basedOn w:val="985"/>
    <w:next w:val="985"/>
    <w:uiPriority w:val="0"/>
    <w:qFormat/>
    <w:pPr>
      <w:ind w:firstLine="225"/>
    </w:pPr>
    <w:rPr>
      <w:rFonts w:ascii="仿宋_GB2312" w:eastAsia="仿宋_GB2312"/>
    </w:rPr>
  </w:style>
  <w:style w:type="paragraph" w:styleId="988"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普通(网站)1"/>
    <w:basedOn w:val="760"/>
    <w:uiPriority w:val="99"/>
    <w:qFormat/>
    <w:pPr>
      <w:jc w:val="left"/>
      <w:spacing w:before="100" w:beforeAutospacing="1" w:after="100" w:afterAutospacing="1"/>
      <w:widowControl/>
    </w:pPr>
    <w:rPr>
      <w:rFonts w:ascii="宋体" w:hAnsi="宋体" w:eastAsia="宋体" w:cs="宋体"/>
      <w:sz w:val="24"/>
      <w:szCs w:val="24"/>
    </w:rPr>
  </w:style>
  <w:style w:type="character" w:styleId="990" w:customStyle="1">
    <w:name w:val="批注框文本 Char"/>
    <w:basedOn w:val="770"/>
    <w:link w:val="783"/>
    <w:uiPriority w:val="99"/>
    <w:semiHidden/>
    <w:qFormat/>
    <w:rPr>
      <w:rFonts w:asciiTheme="minorHAnsi" w:hAnsiTheme="minorHAnsi" w:eastAsiaTheme="minorEastAsia" w:cstheme="minorBidi"/>
      <w:sz w:val="18"/>
      <w:szCs w:val="18"/>
    </w:rPr>
  </w:style>
  <w:style w:type="character" w:styleId="991" w:customStyle="1">
    <w:name w:val="批注文字 Char"/>
    <w:basedOn w:val="770"/>
    <w:link w:val="777"/>
    <w:uiPriority w:val="99"/>
    <w:semiHidden/>
    <w:qFormat/>
    <w:rPr>
      <w:rFonts w:asciiTheme="minorHAnsi" w:hAnsiTheme="minorHAnsi" w:eastAsiaTheme="minorEastAsia" w:cstheme="minorBidi"/>
      <w:sz w:val="21"/>
      <w:szCs w:val="22"/>
    </w:rPr>
  </w:style>
  <w:style w:type="character" w:styleId="992" w:customStyle="1">
    <w:name w:val="批注主题 Char"/>
    <w:basedOn w:val="991"/>
    <w:link w:val="796"/>
    <w:uiPriority w:val="99"/>
    <w:semiHidden/>
    <w:qFormat/>
    <w:rPr>
      <w:b/>
      <w:bCs/>
    </w:rPr>
  </w:style>
  <w:style w:type="paragraph" w:styleId="993" w:customStyle="1">
    <w:name w:val="Revision"/>
    <w:hidden/>
    <w:uiPriority w:val="99"/>
    <w:unhideWhenUsed/>
    <w:qFormat/>
    <w:rPr>
      <w:rFonts w:hint="default" w:asciiTheme="minorHAnsi" w:hAnsiTheme="minorHAnsi" w:eastAsiaTheme="minorEastAsia" w:cstheme="minorBidi"/>
      <w:sz w:val="21"/>
      <w:szCs w:val="22"/>
      <w:lang w:val="en-US" w:eastAsia="zh-CN" w:bidi="ar-SA"/>
    </w:rPr>
  </w:style>
  <w:style w:type="numbering" w:styleId="9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张晓磊</cp:lastModifiedBy>
  <cp:revision>9</cp:revision>
  <dcterms:created xsi:type="dcterms:W3CDTF">2026-02-24T16:56:00Z</dcterms:created>
  <dcterms:modified xsi:type="dcterms:W3CDTF">2026-05-11T02:48:45Z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eyJoZGlkIjoiODcxNjIyODdjOTk0OGIzZTU0MGIyYTNjZWEyYzgxNGQiLCJ1c2VySWQiOiI2MDg3Mjk2NzgifQ==</vt:lpwstr>
  </property>
  <property fmtid="{D5CDD505-2E9C-101B-9397-08002B2CF9AE}" pid="3" name="KSOProductBuildVer">
    <vt:lpwstr>2052-12.1.0.25865</vt:lpwstr>
  </property>
  <property fmtid="{D5CDD505-2E9C-101B-9397-08002B2CF9AE}" pid="4" name="ICV">
    <vt:lpwstr>B12BCB2DFEFBC8ED99BA7569DB834534_43</vt:lpwstr>
  </property>
</Properties>
</file>